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C21" w:rsidRDefault="00B65110">
      <w:pPr>
        <w:pStyle w:val="BodyText"/>
        <w:ind w:left="6080"/>
        <w:rPr>
          <w:rFonts w:ascii="Times New Roman"/>
          <w:sz w:val="20"/>
        </w:rPr>
      </w:pPr>
      <w:r>
        <w:rPr>
          <w:rFonts w:ascii="Times New Roman"/>
          <w:noProof/>
          <w:sz w:val="20"/>
          <w:lang w:val="en-GB" w:eastAsia="en-GB"/>
        </w:rPr>
        <w:drawing>
          <wp:inline distT="0" distB="0" distL="0" distR="0">
            <wp:extent cx="2247900" cy="552450"/>
            <wp:effectExtent l="0" t="0" r="0" b="0"/>
            <wp:docPr id="1" name="image1.png" descr="Wrexham Glyndwr University logo" title="WG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247900" cy="552450"/>
                    </a:xfrm>
                    <a:prstGeom prst="rect">
                      <a:avLst/>
                    </a:prstGeom>
                  </pic:spPr>
                </pic:pic>
              </a:graphicData>
            </a:graphic>
          </wp:inline>
        </w:drawing>
      </w:r>
    </w:p>
    <w:p w:rsidR="00331C21" w:rsidRDefault="00331C21">
      <w:pPr>
        <w:pStyle w:val="BodyText"/>
        <w:spacing w:before="8"/>
        <w:rPr>
          <w:rFonts w:ascii="Times New Roman"/>
          <w:sz w:val="21"/>
        </w:rPr>
      </w:pPr>
    </w:p>
    <w:tbl>
      <w:tblPr>
        <w:tblW w:w="0" w:type="auto"/>
        <w:tblInd w:w="290" w:type="dxa"/>
        <w:tblBorders>
          <w:top w:val="double" w:sz="1" w:space="0" w:color="D9D9D9"/>
          <w:left w:val="double" w:sz="1" w:space="0" w:color="D9D9D9"/>
          <w:bottom w:val="double" w:sz="1" w:space="0" w:color="D9D9D9"/>
          <w:right w:val="double" w:sz="1" w:space="0" w:color="D9D9D9"/>
          <w:insideH w:val="double" w:sz="1" w:space="0" w:color="D9D9D9"/>
          <w:insideV w:val="double" w:sz="1" w:space="0" w:color="D9D9D9"/>
        </w:tblBorders>
        <w:tblLayout w:type="fixed"/>
        <w:tblCellMar>
          <w:left w:w="0" w:type="dxa"/>
          <w:right w:w="0" w:type="dxa"/>
        </w:tblCellMar>
        <w:tblLook w:val="00A0" w:firstRow="1" w:lastRow="0" w:firstColumn="1" w:lastColumn="0" w:noHBand="0" w:noVBand="0"/>
      </w:tblPr>
      <w:tblGrid>
        <w:gridCol w:w="2394"/>
        <w:gridCol w:w="1532"/>
        <w:gridCol w:w="2640"/>
        <w:gridCol w:w="2800"/>
      </w:tblGrid>
      <w:tr w:rsidR="00331C21" w:rsidTr="00B65110">
        <w:trPr>
          <w:trHeight w:val="506"/>
          <w:tblHeader/>
        </w:trPr>
        <w:tc>
          <w:tcPr>
            <w:tcW w:w="9366" w:type="dxa"/>
            <w:gridSpan w:val="4"/>
          </w:tcPr>
          <w:p w:rsidR="00331C21" w:rsidRPr="00B65110" w:rsidRDefault="00331C21" w:rsidP="00B65110">
            <w:pPr>
              <w:pStyle w:val="Heading1"/>
            </w:pPr>
            <w:bookmarkStart w:id="0" w:name="_GoBack" w:colFirst="0" w:colLast="0"/>
          </w:p>
          <w:p w:rsidR="00331C21" w:rsidRPr="00B65110" w:rsidRDefault="00B65110" w:rsidP="00B65110">
            <w:pPr>
              <w:pStyle w:val="Heading1"/>
            </w:pPr>
            <w:r w:rsidRPr="00B65110">
              <w:t>POLICY STATEMENT ON THE RECRUITMENT OF EX-OFFENDERS: STUDENTS</w:t>
            </w:r>
          </w:p>
        </w:tc>
      </w:tr>
      <w:bookmarkEnd w:id="0"/>
      <w:tr w:rsidR="00331C21" w:rsidTr="00B65110">
        <w:trPr>
          <w:trHeight w:val="379"/>
        </w:trPr>
        <w:tc>
          <w:tcPr>
            <w:tcW w:w="2394" w:type="dxa"/>
          </w:tcPr>
          <w:p w:rsidR="00331C21" w:rsidRDefault="00B65110">
            <w:pPr>
              <w:pStyle w:val="TableParagraph"/>
              <w:rPr>
                <w:b/>
              </w:rPr>
            </w:pPr>
            <w:r>
              <w:rPr>
                <w:b/>
              </w:rPr>
              <w:t>Department</w:t>
            </w:r>
          </w:p>
        </w:tc>
        <w:tc>
          <w:tcPr>
            <w:tcW w:w="6972" w:type="dxa"/>
            <w:gridSpan w:val="3"/>
          </w:tcPr>
          <w:p w:rsidR="00331C21" w:rsidRDefault="00B65110">
            <w:pPr>
              <w:pStyle w:val="TableParagraph"/>
              <w:spacing w:line="251" w:lineRule="exact"/>
              <w:ind w:left="97"/>
            </w:pPr>
            <w:r>
              <w:t>Academic Registry</w:t>
            </w:r>
          </w:p>
        </w:tc>
      </w:tr>
      <w:tr w:rsidR="00331C21" w:rsidTr="00B65110">
        <w:trPr>
          <w:trHeight w:val="379"/>
        </w:trPr>
        <w:tc>
          <w:tcPr>
            <w:tcW w:w="2394" w:type="dxa"/>
          </w:tcPr>
          <w:p w:rsidR="00331C21" w:rsidRDefault="00B65110">
            <w:pPr>
              <w:pStyle w:val="TableParagraph"/>
              <w:rPr>
                <w:b/>
              </w:rPr>
            </w:pPr>
            <w:r>
              <w:rPr>
                <w:b/>
              </w:rPr>
              <w:t>Author</w:t>
            </w:r>
          </w:p>
        </w:tc>
        <w:tc>
          <w:tcPr>
            <w:tcW w:w="6972" w:type="dxa"/>
            <w:gridSpan w:val="3"/>
          </w:tcPr>
          <w:p w:rsidR="00331C21" w:rsidRDefault="00B65110">
            <w:pPr>
              <w:pStyle w:val="TableParagraph"/>
              <w:spacing w:line="251" w:lineRule="exact"/>
              <w:ind w:left="97"/>
            </w:pPr>
            <w:r>
              <w:t>Academic Registry</w:t>
            </w:r>
          </w:p>
        </w:tc>
      </w:tr>
      <w:tr w:rsidR="00331C21" w:rsidTr="00B65110">
        <w:trPr>
          <w:trHeight w:val="380"/>
        </w:trPr>
        <w:tc>
          <w:tcPr>
            <w:tcW w:w="2394" w:type="dxa"/>
          </w:tcPr>
          <w:p w:rsidR="00331C21" w:rsidRDefault="00B65110">
            <w:pPr>
              <w:pStyle w:val="TableParagraph"/>
              <w:rPr>
                <w:b/>
              </w:rPr>
            </w:pPr>
            <w:proofErr w:type="spellStart"/>
            <w:r>
              <w:rPr>
                <w:b/>
              </w:rPr>
              <w:t>Authorised</w:t>
            </w:r>
            <w:proofErr w:type="spellEnd"/>
            <w:r>
              <w:rPr>
                <w:b/>
              </w:rPr>
              <w:t xml:space="preserve"> By:</w:t>
            </w:r>
          </w:p>
        </w:tc>
        <w:tc>
          <w:tcPr>
            <w:tcW w:w="6972" w:type="dxa"/>
            <w:gridSpan w:val="3"/>
          </w:tcPr>
          <w:p w:rsidR="00331C21" w:rsidRDefault="00B65110">
            <w:pPr>
              <w:pStyle w:val="TableParagraph"/>
              <w:spacing w:line="251" w:lineRule="exact"/>
              <w:ind w:left="97"/>
            </w:pPr>
            <w:r>
              <w:t>Academic Board</w:t>
            </w:r>
          </w:p>
        </w:tc>
      </w:tr>
      <w:tr w:rsidR="00331C21" w:rsidTr="00B65110">
        <w:trPr>
          <w:trHeight w:val="379"/>
        </w:trPr>
        <w:tc>
          <w:tcPr>
            <w:tcW w:w="2394" w:type="dxa"/>
          </w:tcPr>
          <w:p w:rsidR="00331C21" w:rsidRDefault="00B65110">
            <w:pPr>
              <w:pStyle w:val="TableParagraph"/>
              <w:rPr>
                <w:b/>
              </w:rPr>
            </w:pPr>
            <w:r>
              <w:rPr>
                <w:b/>
              </w:rPr>
              <w:t>Implementation By:</w:t>
            </w:r>
          </w:p>
        </w:tc>
        <w:tc>
          <w:tcPr>
            <w:tcW w:w="6972" w:type="dxa"/>
            <w:gridSpan w:val="3"/>
          </w:tcPr>
          <w:p w:rsidR="00331C21" w:rsidRDefault="00B65110">
            <w:pPr>
              <w:pStyle w:val="TableParagraph"/>
              <w:spacing w:line="251" w:lineRule="exact"/>
              <w:ind w:left="97"/>
            </w:pPr>
            <w:r>
              <w:t>Academic Registry / Schools</w:t>
            </w:r>
          </w:p>
        </w:tc>
      </w:tr>
      <w:tr w:rsidR="00331C21" w:rsidTr="00B65110">
        <w:trPr>
          <w:trHeight w:val="379"/>
        </w:trPr>
        <w:tc>
          <w:tcPr>
            <w:tcW w:w="2394" w:type="dxa"/>
          </w:tcPr>
          <w:p w:rsidR="00331C21" w:rsidRDefault="00B65110">
            <w:pPr>
              <w:pStyle w:val="TableParagraph"/>
              <w:rPr>
                <w:b/>
              </w:rPr>
            </w:pPr>
            <w:r>
              <w:rPr>
                <w:b/>
              </w:rPr>
              <w:t>Policy Reference:</w:t>
            </w:r>
          </w:p>
        </w:tc>
        <w:tc>
          <w:tcPr>
            <w:tcW w:w="6972" w:type="dxa"/>
            <w:gridSpan w:val="3"/>
          </w:tcPr>
          <w:p w:rsidR="00331C21" w:rsidRDefault="00331C21">
            <w:pPr>
              <w:pStyle w:val="TableParagraph"/>
              <w:ind w:left="0"/>
              <w:rPr>
                <w:rFonts w:ascii="Times New Roman"/>
                <w:sz w:val="20"/>
              </w:rPr>
            </w:pPr>
          </w:p>
        </w:tc>
      </w:tr>
      <w:tr w:rsidR="00331C21" w:rsidTr="00B65110">
        <w:trPr>
          <w:trHeight w:val="379"/>
        </w:trPr>
        <w:tc>
          <w:tcPr>
            <w:tcW w:w="2394" w:type="dxa"/>
          </w:tcPr>
          <w:p w:rsidR="00331C21" w:rsidRDefault="00B65110">
            <w:pPr>
              <w:pStyle w:val="TableParagraph"/>
              <w:rPr>
                <w:b/>
              </w:rPr>
            </w:pPr>
            <w:r>
              <w:rPr>
                <w:b/>
              </w:rPr>
              <w:t>Policies Replaced:</w:t>
            </w:r>
          </w:p>
        </w:tc>
        <w:tc>
          <w:tcPr>
            <w:tcW w:w="6972" w:type="dxa"/>
            <w:gridSpan w:val="3"/>
          </w:tcPr>
          <w:p w:rsidR="00331C21" w:rsidRDefault="00331C21">
            <w:pPr>
              <w:pStyle w:val="TableParagraph"/>
              <w:ind w:left="0"/>
              <w:rPr>
                <w:rFonts w:ascii="Times New Roman"/>
                <w:sz w:val="20"/>
              </w:rPr>
            </w:pPr>
          </w:p>
        </w:tc>
      </w:tr>
      <w:tr w:rsidR="00331C21" w:rsidTr="00B65110">
        <w:trPr>
          <w:trHeight w:val="379"/>
        </w:trPr>
        <w:tc>
          <w:tcPr>
            <w:tcW w:w="2394" w:type="dxa"/>
          </w:tcPr>
          <w:p w:rsidR="00331C21" w:rsidRDefault="00B65110">
            <w:pPr>
              <w:pStyle w:val="TableParagraph"/>
              <w:rPr>
                <w:b/>
              </w:rPr>
            </w:pPr>
            <w:r>
              <w:rPr>
                <w:b/>
              </w:rPr>
              <w:t>Version No:</w:t>
            </w:r>
          </w:p>
        </w:tc>
        <w:tc>
          <w:tcPr>
            <w:tcW w:w="1532" w:type="dxa"/>
          </w:tcPr>
          <w:p w:rsidR="00331C21" w:rsidRDefault="00B65110">
            <w:pPr>
              <w:pStyle w:val="TableParagraph"/>
              <w:spacing w:line="252" w:lineRule="exact"/>
              <w:ind w:left="97"/>
            </w:pPr>
            <w:r>
              <w:t>1.0</w:t>
            </w:r>
          </w:p>
        </w:tc>
        <w:tc>
          <w:tcPr>
            <w:tcW w:w="2640" w:type="dxa"/>
          </w:tcPr>
          <w:p w:rsidR="00331C21" w:rsidRDefault="00B65110">
            <w:pPr>
              <w:pStyle w:val="TableParagraph"/>
              <w:ind w:left="98"/>
              <w:rPr>
                <w:b/>
              </w:rPr>
            </w:pPr>
            <w:r>
              <w:rPr>
                <w:b/>
              </w:rPr>
              <w:t>Approval Committee:</w:t>
            </w:r>
          </w:p>
        </w:tc>
        <w:tc>
          <w:tcPr>
            <w:tcW w:w="2800" w:type="dxa"/>
          </w:tcPr>
          <w:p w:rsidR="00331C21" w:rsidRDefault="00B65110">
            <w:pPr>
              <w:pStyle w:val="TableParagraph"/>
              <w:spacing w:line="251" w:lineRule="exact"/>
              <w:ind w:left="98"/>
            </w:pPr>
            <w:r>
              <w:t>Academic Board</w:t>
            </w:r>
          </w:p>
        </w:tc>
      </w:tr>
      <w:tr w:rsidR="00331C21" w:rsidTr="00B65110">
        <w:trPr>
          <w:trHeight w:val="759"/>
        </w:trPr>
        <w:tc>
          <w:tcPr>
            <w:tcW w:w="2394" w:type="dxa"/>
          </w:tcPr>
          <w:p w:rsidR="00331C21" w:rsidRDefault="00B65110">
            <w:pPr>
              <w:pStyle w:val="TableParagraph"/>
              <w:rPr>
                <w:b/>
              </w:rPr>
            </w:pPr>
            <w:r>
              <w:rPr>
                <w:b/>
              </w:rPr>
              <w:t>Date approved:</w:t>
            </w:r>
          </w:p>
        </w:tc>
        <w:tc>
          <w:tcPr>
            <w:tcW w:w="1532" w:type="dxa"/>
          </w:tcPr>
          <w:p w:rsidR="00331C21" w:rsidRDefault="00B65110">
            <w:pPr>
              <w:pStyle w:val="TableParagraph"/>
              <w:spacing w:line="252" w:lineRule="exact"/>
              <w:ind w:left="97"/>
            </w:pPr>
            <w:r>
              <w:t>7 February</w:t>
            </w:r>
          </w:p>
          <w:p w:rsidR="00331C21" w:rsidRDefault="00B65110">
            <w:pPr>
              <w:pStyle w:val="TableParagraph"/>
              <w:spacing w:before="127"/>
              <w:ind w:left="97"/>
            </w:pPr>
            <w:r>
              <w:t>2017</w:t>
            </w:r>
          </w:p>
        </w:tc>
        <w:tc>
          <w:tcPr>
            <w:tcW w:w="2640" w:type="dxa"/>
          </w:tcPr>
          <w:p w:rsidR="00331C21" w:rsidRDefault="00B65110">
            <w:pPr>
              <w:pStyle w:val="TableParagraph"/>
              <w:ind w:left="98"/>
              <w:rPr>
                <w:b/>
              </w:rPr>
            </w:pPr>
            <w:r>
              <w:rPr>
                <w:b/>
              </w:rPr>
              <w:t>Minute no:</w:t>
            </w:r>
          </w:p>
        </w:tc>
        <w:tc>
          <w:tcPr>
            <w:tcW w:w="2800" w:type="dxa"/>
          </w:tcPr>
          <w:p w:rsidR="00331C21" w:rsidRDefault="00B65110">
            <w:pPr>
              <w:pStyle w:val="TableParagraph"/>
              <w:spacing w:line="251" w:lineRule="exact"/>
              <w:ind w:left="98"/>
            </w:pPr>
            <w:r>
              <w:t>16.037.1</w:t>
            </w:r>
          </w:p>
        </w:tc>
      </w:tr>
      <w:tr w:rsidR="00331C21" w:rsidTr="00B65110">
        <w:trPr>
          <w:trHeight w:val="379"/>
        </w:trPr>
        <w:tc>
          <w:tcPr>
            <w:tcW w:w="2394" w:type="dxa"/>
          </w:tcPr>
          <w:p w:rsidR="00331C21" w:rsidRDefault="00B65110">
            <w:pPr>
              <w:pStyle w:val="TableParagraph"/>
              <w:rPr>
                <w:b/>
              </w:rPr>
            </w:pPr>
            <w:r>
              <w:rPr>
                <w:b/>
              </w:rPr>
              <w:t>Status:</w:t>
            </w:r>
          </w:p>
        </w:tc>
        <w:tc>
          <w:tcPr>
            <w:tcW w:w="1532" w:type="dxa"/>
          </w:tcPr>
          <w:p w:rsidR="00331C21" w:rsidRDefault="00B65110">
            <w:pPr>
              <w:pStyle w:val="TableParagraph"/>
              <w:spacing w:line="252" w:lineRule="exact"/>
              <w:ind w:left="97"/>
            </w:pPr>
            <w:r>
              <w:t>Approved</w:t>
            </w:r>
          </w:p>
        </w:tc>
        <w:tc>
          <w:tcPr>
            <w:tcW w:w="2640" w:type="dxa"/>
          </w:tcPr>
          <w:p w:rsidR="00331C21" w:rsidRDefault="00B65110">
            <w:pPr>
              <w:pStyle w:val="TableParagraph"/>
              <w:ind w:left="98"/>
              <w:rPr>
                <w:b/>
              </w:rPr>
            </w:pPr>
            <w:r>
              <w:rPr>
                <w:b/>
              </w:rPr>
              <w:t>Implementation Date:</w:t>
            </w:r>
          </w:p>
        </w:tc>
        <w:tc>
          <w:tcPr>
            <w:tcW w:w="2800" w:type="dxa"/>
          </w:tcPr>
          <w:p w:rsidR="00331C21" w:rsidRDefault="00B65110">
            <w:pPr>
              <w:pStyle w:val="TableParagraph"/>
              <w:spacing w:line="251" w:lineRule="exact"/>
              <w:ind w:left="98"/>
            </w:pPr>
            <w:r>
              <w:t>February 2017</w:t>
            </w:r>
          </w:p>
        </w:tc>
      </w:tr>
      <w:tr w:rsidR="00331C21" w:rsidTr="00B65110">
        <w:trPr>
          <w:trHeight w:val="380"/>
        </w:trPr>
        <w:tc>
          <w:tcPr>
            <w:tcW w:w="2394" w:type="dxa"/>
          </w:tcPr>
          <w:p w:rsidR="00331C21" w:rsidRDefault="00B65110">
            <w:pPr>
              <w:pStyle w:val="TableParagraph"/>
              <w:rPr>
                <w:b/>
              </w:rPr>
            </w:pPr>
            <w:r>
              <w:rPr>
                <w:b/>
              </w:rPr>
              <w:t>Period of approval:</w:t>
            </w:r>
          </w:p>
        </w:tc>
        <w:tc>
          <w:tcPr>
            <w:tcW w:w="1532" w:type="dxa"/>
          </w:tcPr>
          <w:p w:rsidR="00331C21" w:rsidRDefault="00B65110">
            <w:pPr>
              <w:pStyle w:val="TableParagraph"/>
              <w:spacing w:line="252" w:lineRule="exact"/>
              <w:ind w:left="97"/>
            </w:pPr>
            <w:r>
              <w:t>3 years</w:t>
            </w:r>
          </w:p>
        </w:tc>
        <w:tc>
          <w:tcPr>
            <w:tcW w:w="2640" w:type="dxa"/>
          </w:tcPr>
          <w:p w:rsidR="00331C21" w:rsidRDefault="00B65110">
            <w:pPr>
              <w:pStyle w:val="TableParagraph"/>
              <w:ind w:left="98"/>
              <w:rPr>
                <w:b/>
              </w:rPr>
            </w:pPr>
            <w:r>
              <w:rPr>
                <w:b/>
              </w:rPr>
              <w:t>Review Date:</w:t>
            </w:r>
          </w:p>
        </w:tc>
        <w:tc>
          <w:tcPr>
            <w:tcW w:w="2800" w:type="dxa"/>
          </w:tcPr>
          <w:p w:rsidR="00331C21" w:rsidRDefault="00B65110">
            <w:pPr>
              <w:pStyle w:val="TableParagraph"/>
              <w:spacing w:line="251" w:lineRule="exact"/>
              <w:ind w:left="98"/>
            </w:pPr>
            <w:r>
              <w:t>February 2020</w:t>
            </w:r>
          </w:p>
        </w:tc>
      </w:tr>
    </w:tbl>
    <w:p w:rsidR="00331C21" w:rsidRDefault="00331C21">
      <w:pPr>
        <w:pStyle w:val="BodyText"/>
        <w:rPr>
          <w:rFonts w:ascii="Times New Roman"/>
          <w:sz w:val="16"/>
        </w:rPr>
      </w:pPr>
    </w:p>
    <w:p w:rsidR="00331C21" w:rsidRDefault="00B65110">
      <w:pPr>
        <w:pStyle w:val="Heading1"/>
        <w:numPr>
          <w:ilvl w:val="0"/>
          <w:numId w:val="2"/>
        </w:numPr>
        <w:tabs>
          <w:tab w:val="left" w:pos="545"/>
        </w:tabs>
        <w:spacing w:before="93"/>
        <w:ind w:hanging="427"/>
        <w:jc w:val="both"/>
      </w:pPr>
      <w:r>
        <w:t>Purpose of Policy Statement on the Recruitment of</w:t>
      </w:r>
      <w:r>
        <w:rPr>
          <w:spacing w:val="-4"/>
        </w:rPr>
        <w:t xml:space="preserve"> </w:t>
      </w:r>
      <w:r>
        <w:t>Ex-offenders:</w:t>
      </w:r>
    </w:p>
    <w:p w:rsidR="00331C21" w:rsidRDefault="00331C21">
      <w:pPr>
        <w:pStyle w:val="BodyText"/>
        <w:spacing w:before="10"/>
        <w:rPr>
          <w:b/>
          <w:sz w:val="21"/>
        </w:rPr>
      </w:pPr>
    </w:p>
    <w:p w:rsidR="00331C21" w:rsidRDefault="00B65110">
      <w:pPr>
        <w:pStyle w:val="BodyText"/>
        <w:spacing w:before="1"/>
        <w:ind w:left="544" w:right="598"/>
        <w:jc w:val="both"/>
      </w:pPr>
      <w:r>
        <w:t xml:space="preserve">The purpose of this policy statement is to state the University’s position in relation to the admission of ex-offenders onto academic </w:t>
      </w:r>
      <w:proofErr w:type="spellStart"/>
      <w:r>
        <w:t>programmes</w:t>
      </w:r>
      <w:proofErr w:type="spellEnd"/>
      <w:r>
        <w:t>.</w:t>
      </w:r>
    </w:p>
    <w:p w:rsidR="00331C21" w:rsidRDefault="00331C21">
      <w:pPr>
        <w:pStyle w:val="BodyText"/>
      </w:pPr>
    </w:p>
    <w:p w:rsidR="00331C21" w:rsidRDefault="00B65110">
      <w:pPr>
        <w:pStyle w:val="Heading1"/>
        <w:numPr>
          <w:ilvl w:val="0"/>
          <w:numId w:val="2"/>
        </w:numPr>
        <w:tabs>
          <w:tab w:val="left" w:pos="545"/>
        </w:tabs>
        <w:ind w:hanging="427"/>
        <w:jc w:val="both"/>
      </w:pPr>
      <w:proofErr w:type="spellStart"/>
      <w:r>
        <w:t>Organisational</w:t>
      </w:r>
      <w:proofErr w:type="spellEnd"/>
      <w:r>
        <w:t xml:space="preserve"> Definition of Policy Statement on the Recruitment of</w:t>
      </w:r>
      <w:r>
        <w:rPr>
          <w:spacing w:val="-5"/>
        </w:rPr>
        <w:t xml:space="preserve"> </w:t>
      </w:r>
      <w:r>
        <w:t>Ex-offenders:</w:t>
      </w:r>
    </w:p>
    <w:p w:rsidR="00331C21" w:rsidRDefault="00331C21">
      <w:pPr>
        <w:pStyle w:val="BodyText"/>
        <w:spacing w:before="1"/>
        <w:rPr>
          <w:b/>
        </w:rPr>
      </w:pPr>
    </w:p>
    <w:p w:rsidR="00331C21" w:rsidRDefault="00B65110">
      <w:pPr>
        <w:pStyle w:val="ListParagraph"/>
        <w:numPr>
          <w:ilvl w:val="1"/>
          <w:numId w:val="2"/>
        </w:numPr>
        <w:tabs>
          <w:tab w:val="left" w:pos="545"/>
        </w:tabs>
        <w:spacing w:line="252" w:lineRule="exact"/>
        <w:ind w:hanging="427"/>
        <w:jc w:val="both"/>
        <w:rPr>
          <w:b/>
        </w:rPr>
      </w:pPr>
      <w:r>
        <w:rPr>
          <w:b/>
        </w:rPr>
        <w:t>Rehabilitation of Offenders Act</w:t>
      </w:r>
      <w:r>
        <w:rPr>
          <w:b/>
          <w:spacing w:val="-1"/>
        </w:rPr>
        <w:t xml:space="preserve"> </w:t>
      </w:r>
      <w:r>
        <w:rPr>
          <w:b/>
        </w:rPr>
        <w:t>1974</w:t>
      </w:r>
    </w:p>
    <w:p w:rsidR="00331C21" w:rsidRDefault="00B65110">
      <w:pPr>
        <w:pStyle w:val="BodyText"/>
        <w:ind w:left="544" w:right="597"/>
        <w:jc w:val="both"/>
      </w:pPr>
      <w:r>
        <w:t>The Rehabilitation of Offenders Act (ROA) 1974 ensures those people who have been convicted of a criminal offence in the past are not discriminated against when seeking appropriate employment. A person convicted of a criminal offence and who receives a sen</w:t>
      </w:r>
      <w:r>
        <w:t>tence of no more than 2 ½ years in prison, whether suspended or not, is protected by the Act if they are not convicted again during a specified period referred to as the ‘Rehabilitation Period’.</w:t>
      </w:r>
    </w:p>
    <w:p w:rsidR="00331C21" w:rsidRDefault="00331C21">
      <w:pPr>
        <w:pStyle w:val="BodyText"/>
        <w:spacing w:before="10"/>
        <w:rPr>
          <w:sz w:val="21"/>
        </w:rPr>
      </w:pPr>
    </w:p>
    <w:p w:rsidR="00331C21" w:rsidRDefault="00B65110">
      <w:pPr>
        <w:pStyle w:val="BodyText"/>
        <w:ind w:left="544" w:right="600"/>
        <w:jc w:val="both"/>
      </w:pPr>
      <w:r>
        <w:t>Once</w:t>
      </w:r>
      <w:r>
        <w:rPr>
          <w:spacing w:val="-9"/>
        </w:rPr>
        <w:t xml:space="preserve"> </w:t>
      </w:r>
      <w:r>
        <w:t>a</w:t>
      </w:r>
      <w:r>
        <w:rPr>
          <w:spacing w:val="-8"/>
        </w:rPr>
        <w:t xml:space="preserve"> </w:t>
      </w:r>
      <w:r>
        <w:t>rehabilitation</w:t>
      </w:r>
      <w:r>
        <w:rPr>
          <w:spacing w:val="-9"/>
        </w:rPr>
        <w:t xml:space="preserve"> </w:t>
      </w:r>
      <w:r>
        <w:t>period</w:t>
      </w:r>
      <w:r>
        <w:rPr>
          <w:spacing w:val="-8"/>
        </w:rPr>
        <w:t xml:space="preserve"> </w:t>
      </w:r>
      <w:r>
        <w:t>has</w:t>
      </w:r>
      <w:r>
        <w:rPr>
          <w:spacing w:val="-8"/>
        </w:rPr>
        <w:t xml:space="preserve"> </w:t>
      </w:r>
      <w:r>
        <w:t>expired</w:t>
      </w:r>
      <w:r>
        <w:rPr>
          <w:spacing w:val="-9"/>
        </w:rPr>
        <w:t xml:space="preserve"> </w:t>
      </w:r>
      <w:r>
        <w:t>and</w:t>
      </w:r>
      <w:r>
        <w:rPr>
          <w:spacing w:val="-8"/>
        </w:rPr>
        <w:t xml:space="preserve"> </w:t>
      </w:r>
      <w:r>
        <w:t>no</w:t>
      </w:r>
      <w:r>
        <w:rPr>
          <w:spacing w:val="-9"/>
        </w:rPr>
        <w:t xml:space="preserve"> </w:t>
      </w:r>
      <w:r>
        <w:t>further</w:t>
      </w:r>
      <w:r>
        <w:rPr>
          <w:spacing w:val="-8"/>
        </w:rPr>
        <w:t xml:space="preserve"> </w:t>
      </w:r>
      <w:r>
        <w:t>offe</w:t>
      </w:r>
      <w:r>
        <w:t>nding</w:t>
      </w:r>
      <w:r>
        <w:rPr>
          <w:spacing w:val="-8"/>
        </w:rPr>
        <w:t xml:space="preserve"> </w:t>
      </w:r>
      <w:r>
        <w:t>has</w:t>
      </w:r>
      <w:r>
        <w:rPr>
          <w:spacing w:val="-9"/>
        </w:rPr>
        <w:t xml:space="preserve"> </w:t>
      </w:r>
      <w:r>
        <w:t>taken</w:t>
      </w:r>
      <w:r>
        <w:rPr>
          <w:spacing w:val="-8"/>
        </w:rPr>
        <w:t xml:space="preserve"> </w:t>
      </w:r>
      <w:r>
        <w:t>place,</w:t>
      </w:r>
      <w:r>
        <w:rPr>
          <w:spacing w:val="-9"/>
        </w:rPr>
        <w:t xml:space="preserve"> </w:t>
      </w:r>
      <w:r>
        <w:t>a</w:t>
      </w:r>
      <w:r>
        <w:rPr>
          <w:spacing w:val="-8"/>
        </w:rPr>
        <w:t xml:space="preserve"> </w:t>
      </w:r>
      <w:r>
        <w:t>conviction is considered to be ‘spent’. Once a conviction has been spent, the convicted person does not have to reveal it or admit its existence. However there are</w:t>
      </w:r>
      <w:r>
        <w:rPr>
          <w:spacing w:val="-3"/>
        </w:rPr>
        <w:t xml:space="preserve"> </w:t>
      </w:r>
      <w:r>
        <w:t>exceptions.</w:t>
      </w:r>
    </w:p>
    <w:p w:rsidR="00331C21" w:rsidRDefault="00331C21">
      <w:pPr>
        <w:pStyle w:val="BodyText"/>
        <w:spacing w:before="2"/>
      </w:pPr>
    </w:p>
    <w:p w:rsidR="00331C21" w:rsidRDefault="00B65110">
      <w:pPr>
        <w:pStyle w:val="Heading1"/>
        <w:numPr>
          <w:ilvl w:val="1"/>
          <w:numId w:val="2"/>
        </w:numPr>
        <w:tabs>
          <w:tab w:val="left" w:pos="545"/>
        </w:tabs>
        <w:spacing w:line="252" w:lineRule="exact"/>
        <w:ind w:hanging="427"/>
        <w:jc w:val="both"/>
      </w:pPr>
      <w:r>
        <w:t>Exceptions to the</w:t>
      </w:r>
      <w:r>
        <w:rPr>
          <w:spacing w:val="-1"/>
        </w:rPr>
        <w:t xml:space="preserve"> </w:t>
      </w:r>
      <w:r>
        <w:t>Act</w:t>
      </w:r>
    </w:p>
    <w:p w:rsidR="00331C21" w:rsidRDefault="00B65110">
      <w:pPr>
        <w:pStyle w:val="BodyText"/>
        <w:ind w:left="544" w:right="597"/>
        <w:jc w:val="both"/>
      </w:pPr>
      <w:r>
        <w:t>The University has a duty of car</w:t>
      </w:r>
      <w:r>
        <w:t>e to protect the well-being of the public and service users and in particular children and adults who are considered to be vulnerable. The Exceptions Order overrules the employment rights an ex-offender would otherwise have in respect of spent convictions.</w:t>
      </w:r>
      <w:r>
        <w:t xml:space="preserve"> Ex-offenders have to disclose information about spent, as well as unspent convictions, provided that offer letter states clearly that the </w:t>
      </w:r>
      <w:proofErr w:type="spellStart"/>
      <w:r>
        <w:t>programme</w:t>
      </w:r>
      <w:proofErr w:type="spellEnd"/>
      <w:r>
        <w:t xml:space="preserve"> is exempted.</w:t>
      </w:r>
    </w:p>
    <w:p w:rsidR="00331C21" w:rsidRDefault="00331C21">
      <w:pPr>
        <w:jc w:val="both"/>
        <w:sectPr w:rsidR="00331C21">
          <w:type w:val="continuous"/>
          <w:pgSz w:w="12240" w:h="15840"/>
          <w:pgMar w:top="1440" w:right="840" w:bottom="280" w:left="1180" w:header="720" w:footer="720" w:gutter="0"/>
          <w:cols w:space="720"/>
        </w:sectPr>
      </w:pPr>
    </w:p>
    <w:p w:rsidR="00331C21" w:rsidRDefault="00331C21">
      <w:pPr>
        <w:pStyle w:val="BodyText"/>
        <w:rPr>
          <w:sz w:val="20"/>
        </w:rPr>
      </w:pPr>
    </w:p>
    <w:p w:rsidR="00331C21" w:rsidRDefault="00B65110">
      <w:pPr>
        <w:pStyle w:val="BodyText"/>
        <w:spacing w:before="214"/>
        <w:ind w:left="544"/>
      </w:pPr>
      <w:r>
        <w:t>Exempted occupations fall into the following categories:</w:t>
      </w:r>
    </w:p>
    <w:p w:rsidR="00331C21" w:rsidRDefault="00B65110">
      <w:pPr>
        <w:pStyle w:val="ListParagraph"/>
        <w:numPr>
          <w:ilvl w:val="2"/>
          <w:numId w:val="2"/>
        </w:numPr>
        <w:tabs>
          <w:tab w:val="left" w:pos="979"/>
          <w:tab w:val="left" w:pos="981"/>
        </w:tabs>
        <w:ind w:right="599" w:hanging="360"/>
      </w:pPr>
      <w:r>
        <w:t>Work that brings the perso</w:t>
      </w:r>
      <w:r>
        <w:t>n into contact with groups such as the infirm, elderly, mentally ill and young people under the age of</w:t>
      </w:r>
      <w:r>
        <w:rPr>
          <w:spacing w:val="-41"/>
        </w:rPr>
        <w:t xml:space="preserve"> </w:t>
      </w:r>
      <w:r>
        <w:t>18.</w:t>
      </w:r>
    </w:p>
    <w:p w:rsidR="00331C21" w:rsidRDefault="00B65110">
      <w:pPr>
        <w:pStyle w:val="ListParagraph"/>
        <w:numPr>
          <w:ilvl w:val="2"/>
          <w:numId w:val="2"/>
        </w:numPr>
        <w:tabs>
          <w:tab w:val="left" w:pos="979"/>
          <w:tab w:val="left" w:pos="981"/>
        </w:tabs>
        <w:spacing w:line="268" w:lineRule="exact"/>
      </w:pPr>
      <w:r>
        <w:t>Professionals that have legal protection, for example, nurses, doctors, dentists,</w:t>
      </w:r>
      <w:r>
        <w:rPr>
          <w:spacing w:val="-42"/>
        </w:rPr>
        <w:t xml:space="preserve"> </w:t>
      </w:r>
      <w:r>
        <w:t>chemists,</w:t>
      </w:r>
    </w:p>
    <w:p w:rsidR="00331C21" w:rsidRDefault="00331C21">
      <w:pPr>
        <w:pStyle w:val="BodyText"/>
        <w:spacing w:before="8"/>
        <w:rPr>
          <w:sz w:val="21"/>
        </w:rPr>
      </w:pPr>
    </w:p>
    <w:p w:rsidR="00331C21" w:rsidRDefault="00B65110">
      <w:pPr>
        <w:pStyle w:val="BodyText"/>
        <w:spacing w:before="1"/>
        <w:ind w:left="544" w:right="597"/>
        <w:jc w:val="both"/>
      </w:pPr>
      <w:r>
        <w:t>Thorough admission processes and the requirement for a D</w:t>
      </w:r>
      <w:r>
        <w:t>BS check is a requirement to ensure that people who may pose a threat to children and vulnerable adults are not given positions of trust where they could exploit those entrusted to their care, including when studying.</w:t>
      </w:r>
    </w:p>
    <w:p w:rsidR="00331C21" w:rsidRDefault="00331C21">
      <w:pPr>
        <w:pStyle w:val="BodyText"/>
        <w:spacing w:before="11"/>
        <w:rPr>
          <w:sz w:val="21"/>
        </w:rPr>
      </w:pPr>
    </w:p>
    <w:p w:rsidR="00331C21" w:rsidRDefault="00B65110">
      <w:pPr>
        <w:pStyle w:val="BodyText"/>
        <w:ind w:left="544" w:right="600"/>
        <w:jc w:val="both"/>
      </w:pPr>
      <w:r>
        <w:t>An application for a DBS check will o</w:t>
      </w:r>
      <w:r>
        <w:t xml:space="preserve">nly be submitted after a thorough risk assessment has indicated that it is proportionate and relevant. The decision about whether a </w:t>
      </w:r>
      <w:proofErr w:type="spellStart"/>
      <w:r>
        <w:t>programme</w:t>
      </w:r>
      <w:proofErr w:type="spellEnd"/>
      <w:r>
        <w:t xml:space="preserve"> requires a DBS check is taken during </w:t>
      </w:r>
      <w:proofErr w:type="spellStart"/>
      <w:r>
        <w:t>programme</w:t>
      </w:r>
      <w:proofErr w:type="spellEnd"/>
      <w:r>
        <w:t xml:space="preserve"> planning and validation.</w:t>
      </w:r>
    </w:p>
    <w:p w:rsidR="00331C21" w:rsidRDefault="00331C21">
      <w:pPr>
        <w:pStyle w:val="BodyText"/>
        <w:spacing w:before="2"/>
      </w:pPr>
    </w:p>
    <w:p w:rsidR="00331C21" w:rsidRDefault="00B65110">
      <w:pPr>
        <w:pStyle w:val="Heading1"/>
        <w:numPr>
          <w:ilvl w:val="1"/>
          <w:numId w:val="2"/>
        </w:numPr>
        <w:tabs>
          <w:tab w:val="left" w:pos="545"/>
        </w:tabs>
        <w:spacing w:line="252" w:lineRule="exact"/>
        <w:ind w:hanging="427"/>
        <w:jc w:val="both"/>
      </w:pPr>
      <w:r>
        <w:t>Applications</w:t>
      </w:r>
    </w:p>
    <w:p w:rsidR="00331C21" w:rsidRDefault="00B65110">
      <w:pPr>
        <w:pStyle w:val="BodyText"/>
        <w:ind w:left="544" w:right="597"/>
        <w:jc w:val="both"/>
      </w:pPr>
      <w:r>
        <w:t>The University is committed to the fair treatment of all applicants and students regardless of age, race, gender reassignment, sex, religion, and sexual orientation, responsibilities for dependents, physical/mental disability, pregnancy/maternity, marriage</w:t>
      </w:r>
      <w:r>
        <w:t xml:space="preserve"> /civil partnership or offending background.</w:t>
      </w:r>
    </w:p>
    <w:p w:rsidR="00331C21" w:rsidRDefault="00331C21">
      <w:pPr>
        <w:pStyle w:val="BodyText"/>
        <w:spacing w:before="11"/>
        <w:rPr>
          <w:sz w:val="21"/>
        </w:rPr>
      </w:pPr>
    </w:p>
    <w:p w:rsidR="00331C21" w:rsidRDefault="00B65110">
      <w:pPr>
        <w:pStyle w:val="BodyText"/>
        <w:ind w:left="544" w:right="598"/>
        <w:jc w:val="both"/>
      </w:pPr>
      <w:r>
        <w:t>The</w:t>
      </w:r>
      <w:r>
        <w:rPr>
          <w:spacing w:val="-6"/>
        </w:rPr>
        <w:t xml:space="preserve"> </w:t>
      </w:r>
      <w:r>
        <w:t>University</w:t>
      </w:r>
      <w:r>
        <w:rPr>
          <w:spacing w:val="-6"/>
        </w:rPr>
        <w:t xml:space="preserve"> </w:t>
      </w:r>
      <w:r>
        <w:t>actively</w:t>
      </w:r>
      <w:r>
        <w:rPr>
          <w:spacing w:val="-5"/>
        </w:rPr>
        <w:t xml:space="preserve"> </w:t>
      </w:r>
      <w:r>
        <w:t>promotes</w:t>
      </w:r>
      <w:r>
        <w:rPr>
          <w:spacing w:val="-6"/>
        </w:rPr>
        <w:t xml:space="preserve"> </w:t>
      </w:r>
      <w:r>
        <w:t>equality</w:t>
      </w:r>
      <w:r>
        <w:rPr>
          <w:spacing w:val="-6"/>
        </w:rPr>
        <w:t xml:space="preserve"> </w:t>
      </w:r>
      <w:r>
        <w:t>of</w:t>
      </w:r>
      <w:r>
        <w:rPr>
          <w:spacing w:val="-5"/>
        </w:rPr>
        <w:t xml:space="preserve"> </w:t>
      </w:r>
      <w:r>
        <w:t>opportunity</w:t>
      </w:r>
      <w:r>
        <w:rPr>
          <w:spacing w:val="-6"/>
        </w:rPr>
        <w:t xml:space="preserve"> </w:t>
      </w:r>
      <w:r>
        <w:t>for</w:t>
      </w:r>
      <w:r>
        <w:rPr>
          <w:spacing w:val="-6"/>
        </w:rPr>
        <w:t xml:space="preserve"> </w:t>
      </w:r>
      <w:r>
        <w:t>all</w:t>
      </w:r>
      <w:r>
        <w:rPr>
          <w:spacing w:val="-5"/>
        </w:rPr>
        <w:t xml:space="preserve"> </w:t>
      </w:r>
      <w:r>
        <w:t>with</w:t>
      </w:r>
      <w:r>
        <w:rPr>
          <w:spacing w:val="-6"/>
        </w:rPr>
        <w:t xml:space="preserve"> </w:t>
      </w:r>
      <w:r>
        <w:t>the</w:t>
      </w:r>
      <w:r>
        <w:rPr>
          <w:spacing w:val="-6"/>
        </w:rPr>
        <w:t xml:space="preserve"> </w:t>
      </w:r>
      <w:r>
        <w:t>right</w:t>
      </w:r>
      <w:r>
        <w:rPr>
          <w:spacing w:val="-5"/>
        </w:rPr>
        <w:t xml:space="preserve"> </w:t>
      </w:r>
      <w:r>
        <w:t>mix</w:t>
      </w:r>
      <w:r>
        <w:rPr>
          <w:spacing w:val="-6"/>
        </w:rPr>
        <w:t xml:space="preserve"> </w:t>
      </w:r>
      <w:r>
        <w:t>of</w:t>
      </w:r>
      <w:r>
        <w:rPr>
          <w:spacing w:val="-6"/>
        </w:rPr>
        <w:t xml:space="preserve"> </w:t>
      </w:r>
      <w:r>
        <w:t>talent,</w:t>
      </w:r>
      <w:r>
        <w:rPr>
          <w:spacing w:val="-5"/>
        </w:rPr>
        <w:t xml:space="preserve"> </w:t>
      </w:r>
      <w:r>
        <w:t>skills and potential and welcomes applications from a wide range of candidates. All applicants are selected based on their skills, qualifications and</w:t>
      </w:r>
      <w:r>
        <w:rPr>
          <w:spacing w:val="-4"/>
        </w:rPr>
        <w:t xml:space="preserve"> </w:t>
      </w:r>
      <w:r>
        <w:t>experience.</w:t>
      </w:r>
    </w:p>
    <w:p w:rsidR="00331C21" w:rsidRDefault="00331C21">
      <w:pPr>
        <w:pStyle w:val="BodyText"/>
        <w:spacing w:before="11"/>
        <w:rPr>
          <w:sz w:val="21"/>
        </w:rPr>
      </w:pPr>
    </w:p>
    <w:p w:rsidR="00331C21" w:rsidRDefault="00B65110">
      <w:pPr>
        <w:pStyle w:val="BodyText"/>
        <w:ind w:left="544" w:right="598"/>
        <w:jc w:val="both"/>
      </w:pPr>
      <w:r>
        <w:t xml:space="preserve">As an </w:t>
      </w:r>
      <w:proofErr w:type="spellStart"/>
      <w:r>
        <w:t>organisation</w:t>
      </w:r>
      <w:proofErr w:type="spellEnd"/>
      <w:r>
        <w:t xml:space="preserve"> using the Disclosure and Barring Service (DBS) disclosures to assess appli</w:t>
      </w:r>
      <w:r>
        <w:t>cants' suitability for positions of trust, the University complies fully with the DBS Code of Practice and undertakes to treat all applicants for positions fairly. The University makes every subject</w:t>
      </w:r>
      <w:r>
        <w:rPr>
          <w:spacing w:val="-6"/>
        </w:rPr>
        <w:t xml:space="preserve"> </w:t>
      </w:r>
      <w:r>
        <w:t>of</w:t>
      </w:r>
      <w:r>
        <w:rPr>
          <w:spacing w:val="-7"/>
        </w:rPr>
        <w:t xml:space="preserve"> </w:t>
      </w:r>
      <w:r>
        <w:t>a</w:t>
      </w:r>
      <w:r>
        <w:rPr>
          <w:spacing w:val="-7"/>
        </w:rPr>
        <w:t xml:space="preserve"> </w:t>
      </w:r>
      <w:r>
        <w:t>DBS</w:t>
      </w:r>
      <w:r>
        <w:rPr>
          <w:spacing w:val="-6"/>
        </w:rPr>
        <w:t xml:space="preserve"> </w:t>
      </w:r>
      <w:r>
        <w:t>disclosure</w:t>
      </w:r>
      <w:r>
        <w:rPr>
          <w:spacing w:val="-5"/>
        </w:rPr>
        <w:t xml:space="preserve"> </w:t>
      </w:r>
      <w:r>
        <w:t>aware</w:t>
      </w:r>
      <w:r>
        <w:rPr>
          <w:spacing w:val="-6"/>
        </w:rPr>
        <w:t xml:space="preserve"> </w:t>
      </w:r>
      <w:r>
        <w:t>of</w:t>
      </w:r>
      <w:r>
        <w:rPr>
          <w:spacing w:val="-6"/>
        </w:rPr>
        <w:t xml:space="preserve"> </w:t>
      </w:r>
      <w:r>
        <w:t>the</w:t>
      </w:r>
      <w:r>
        <w:rPr>
          <w:spacing w:val="-6"/>
        </w:rPr>
        <w:t xml:space="preserve"> </w:t>
      </w:r>
      <w:r>
        <w:t>existence</w:t>
      </w:r>
      <w:r>
        <w:rPr>
          <w:spacing w:val="-6"/>
        </w:rPr>
        <w:t xml:space="preserve"> </w:t>
      </w:r>
      <w:r>
        <w:t>of</w:t>
      </w:r>
      <w:r>
        <w:rPr>
          <w:spacing w:val="-5"/>
        </w:rPr>
        <w:t xml:space="preserve"> </w:t>
      </w:r>
      <w:r>
        <w:t>the</w:t>
      </w:r>
      <w:r>
        <w:rPr>
          <w:spacing w:val="-6"/>
        </w:rPr>
        <w:t xml:space="preserve"> </w:t>
      </w:r>
      <w:r>
        <w:t>DBS</w:t>
      </w:r>
      <w:r>
        <w:rPr>
          <w:spacing w:val="-6"/>
        </w:rPr>
        <w:t xml:space="preserve"> </w:t>
      </w:r>
      <w:r>
        <w:t>Cod</w:t>
      </w:r>
      <w:r>
        <w:t>e</w:t>
      </w:r>
      <w:r>
        <w:rPr>
          <w:spacing w:val="-6"/>
        </w:rPr>
        <w:t xml:space="preserve"> </w:t>
      </w:r>
      <w:r>
        <w:t>of</w:t>
      </w:r>
      <w:r>
        <w:rPr>
          <w:spacing w:val="-6"/>
        </w:rPr>
        <w:t xml:space="preserve"> </w:t>
      </w:r>
      <w:r>
        <w:t>Practice</w:t>
      </w:r>
      <w:r>
        <w:rPr>
          <w:spacing w:val="-5"/>
        </w:rPr>
        <w:t xml:space="preserve"> </w:t>
      </w:r>
      <w:r>
        <w:t>and</w:t>
      </w:r>
      <w:r>
        <w:rPr>
          <w:spacing w:val="-7"/>
        </w:rPr>
        <w:t xml:space="preserve"> </w:t>
      </w:r>
      <w:r>
        <w:t>will</w:t>
      </w:r>
      <w:r>
        <w:rPr>
          <w:spacing w:val="-6"/>
        </w:rPr>
        <w:t xml:space="preserve"> </w:t>
      </w:r>
      <w:r>
        <w:t>make a copy available on</w:t>
      </w:r>
      <w:r>
        <w:rPr>
          <w:spacing w:val="-1"/>
        </w:rPr>
        <w:t xml:space="preserve"> </w:t>
      </w:r>
      <w:r>
        <w:t>request.</w:t>
      </w:r>
    </w:p>
    <w:p w:rsidR="00331C21" w:rsidRDefault="00331C21">
      <w:pPr>
        <w:pStyle w:val="BodyText"/>
      </w:pPr>
    </w:p>
    <w:p w:rsidR="00331C21" w:rsidRDefault="00B65110">
      <w:pPr>
        <w:pStyle w:val="BodyText"/>
        <w:ind w:left="544" w:right="598"/>
        <w:jc w:val="both"/>
      </w:pPr>
      <w:r>
        <w:t xml:space="preserve">A disclosure is only requested when it is legal to do so. For those </w:t>
      </w:r>
      <w:proofErr w:type="spellStart"/>
      <w:r>
        <w:t>programmes</w:t>
      </w:r>
      <w:proofErr w:type="spellEnd"/>
      <w:r>
        <w:t xml:space="preserve"> where a disclosure</w:t>
      </w:r>
      <w:r>
        <w:rPr>
          <w:spacing w:val="-5"/>
        </w:rPr>
        <w:t xml:space="preserve"> </w:t>
      </w:r>
      <w:r>
        <w:t>is</w:t>
      </w:r>
      <w:r>
        <w:rPr>
          <w:spacing w:val="-4"/>
        </w:rPr>
        <w:t xml:space="preserve"> </w:t>
      </w:r>
      <w:r>
        <w:t>required</w:t>
      </w:r>
      <w:r>
        <w:rPr>
          <w:spacing w:val="-4"/>
        </w:rPr>
        <w:t xml:space="preserve"> </w:t>
      </w:r>
      <w:r>
        <w:t>the</w:t>
      </w:r>
      <w:r>
        <w:rPr>
          <w:spacing w:val="-3"/>
        </w:rPr>
        <w:t xml:space="preserve"> </w:t>
      </w:r>
      <w:r>
        <w:t>website</w:t>
      </w:r>
      <w:r>
        <w:rPr>
          <w:spacing w:val="-5"/>
        </w:rPr>
        <w:t xml:space="preserve"> </w:t>
      </w:r>
      <w:r>
        <w:t>and</w:t>
      </w:r>
      <w:r>
        <w:rPr>
          <w:spacing w:val="-4"/>
        </w:rPr>
        <w:t xml:space="preserve"> </w:t>
      </w:r>
      <w:r>
        <w:t>offer</w:t>
      </w:r>
      <w:r>
        <w:rPr>
          <w:spacing w:val="-4"/>
        </w:rPr>
        <w:t xml:space="preserve"> </w:t>
      </w:r>
      <w:r>
        <w:t>letter</w:t>
      </w:r>
      <w:r>
        <w:rPr>
          <w:spacing w:val="-4"/>
        </w:rPr>
        <w:t xml:space="preserve"> </w:t>
      </w:r>
      <w:r>
        <w:t>will</w:t>
      </w:r>
      <w:r>
        <w:rPr>
          <w:spacing w:val="-4"/>
        </w:rPr>
        <w:t xml:space="preserve"> </w:t>
      </w:r>
      <w:r>
        <w:t>contain</w:t>
      </w:r>
      <w:r>
        <w:rPr>
          <w:spacing w:val="-6"/>
        </w:rPr>
        <w:t xml:space="preserve"> </w:t>
      </w:r>
      <w:r>
        <w:t>a</w:t>
      </w:r>
      <w:r>
        <w:rPr>
          <w:spacing w:val="-4"/>
        </w:rPr>
        <w:t xml:space="preserve"> </w:t>
      </w:r>
      <w:r>
        <w:t>statement</w:t>
      </w:r>
      <w:r>
        <w:rPr>
          <w:spacing w:val="-4"/>
        </w:rPr>
        <w:t xml:space="preserve"> </w:t>
      </w:r>
      <w:r>
        <w:t>that</w:t>
      </w:r>
      <w:r>
        <w:rPr>
          <w:spacing w:val="-3"/>
        </w:rPr>
        <w:t xml:space="preserve"> </w:t>
      </w:r>
      <w:r>
        <w:t>a</w:t>
      </w:r>
      <w:r>
        <w:rPr>
          <w:spacing w:val="-5"/>
        </w:rPr>
        <w:t xml:space="preserve"> </w:t>
      </w:r>
      <w:r>
        <w:t>disclosure</w:t>
      </w:r>
      <w:r>
        <w:rPr>
          <w:spacing w:val="-4"/>
        </w:rPr>
        <w:t xml:space="preserve"> </w:t>
      </w:r>
      <w:r>
        <w:t>will be</w:t>
      </w:r>
      <w:r>
        <w:rPr>
          <w:spacing w:val="-1"/>
        </w:rPr>
        <w:t xml:space="preserve"> </w:t>
      </w:r>
      <w:r>
        <w:t>required.</w:t>
      </w:r>
    </w:p>
    <w:p w:rsidR="00331C21" w:rsidRDefault="00331C21">
      <w:pPr>
        <w:pStyle w:val="BodyText"/>
      </w:pPr>
    </w:p>
    <w:p w:rsidR="00331C21" w:rsidRDefault="00B65110">
      <w:pPr>
        <w:pStyle w:val="BodyText"/>
        <w:ind w:left="544" w:right="597"/>
        <w:jc w:val="both"/>
      </w:pPr>
      <w:r>
        <w:t>Unless</w:t>
      </w:r>
      <w:r>
        <w:rPr>
          <w:spacing w:val="-8"/>
        </w:rPr>
        <w:t xml:space="preserve"> </w:t>
      </w:r>
      <w:r>
        <w:t>the</w:t>
      </w:r>
      <w:r>
        <w:rPr>
          <w:spacing w:val="-8"/>
        </w:rPr>
        <w:t xml:space="preserve"> </w:t>
      </w:r>
      <w:r>
        <w:t>nature</w:t>
      </w:r>
      <w:r>
        <w:rPr>
          <w:spacing w:val="-7"/>
        </w:rPr>
        <w:t xml:space="preserve"> </w:t>
      </w:r>
      <w:r>
        <w:t>of</w:t>
      </w:r>
      <w:r>
        <w:rPr>
          <w:spacing w:val="-7"/>
        </w:rPr>
        <w:t xml:space="preserve"> </w:t>
      </w:r>
      <w:r>
        <w:t>the</w:t>
      </w:r>
      <w:r>
        <w:rPr>
          <w:spacing w:val="-10"/>
        </w:rPr>
        <w:t xml:space="preserve"> </w:t>
      </w:r>
      <w:r>
        <w:t>position</w:t>
      </w:r>
      <w:r>
        <w:rPr>
          <w:spacing w:val="-8"/>
        </w:rPr>
        <w:t xml:space="preserve"> </w:t>
      </w:r>
      <w:r>
        <w:t>allows</w:t>
      </w:r>
      <w:r>
        <w:rPr>
          <w:spacing w:val="-7"/>
        </w:rPr>
        <w:t xml:space="preserve"> </w:t>
      </w:r>
      <w:r>
        <w:t>the</w:t>
      </w:r>
      <w:r>
        <w:rPr>
          <w:spacing w:val="-7"/>
        </w:rPr>
        <w:t xml:space="preserve"> </w:t>
      </w:r>
      <w:r>
        <w:t>University</w:t>
      </w:r>
      <w:r>
        <w:rPr>
          <w:spacing w:val="-8"/>
        </w:rPr>
        <w:t xml:space="preserve"> </w:t>
      </w:r>
      <w:r>
        <w:t>to</w:t>
      </w:r>
      <w:r>
        <w:rPr>
          <w:spacing w:val="-7"/>
        </w:rPr>
        <w:t xml:space="preserve"> </w:t>
      </w:r>
      <w:r>
        <w:t>ask</w:t>
      </w:r>
      <w:r>
        <w:rPr>
          <w:spacing w:val="-8"/>
        </w:rPr>
        <w:t xml:space="preserve"> </w:t>
      </w:r>
      <w:r>
        <w:t>questions</w:t>
      </w:r>
      <w:r>
        <w:rPr>
          <w:spacing w:val="-7"/>
        </w:rPr>
        <w:t xml:space="preserve"> </w:t>
      </w:r>
      <w:r>
        <w:t>about</w:t>
      </w:r>
      <w:r>
        <w:rPr>
          <w:spacing w:val="-8"/>
        </w:rPr>
        <w:t xml:space="preserve"> </w:t>
      </w:r>
      <w:r>
        <w:t>a</w:t>
      </w:r>
      <w:r>
        <w:rPr>
          <w:spacing w:val="-7"/>
        </w:rPr>
        <w:t xml:space="preserve"> </w:t>
      </w:r>
      <w:r>
        <w:t>person’s</w:t>
      </w:r>
      <w:r>
        <w:rPr>
          <w:spacing w:val="-7"/>
        </w:rPr>
        <w:t xml:space="preserve"> </w:t>
      </w:r>
      <w:r>
        <w:t xml:space="preserve">entire criminal record it will only ask about 'unspent' convictions as defined in the Rehabilitation of Offenders Act (1974). The University will only ask </w:t>
      </w:r>
      <w:r>
        <w:t>about convictions and cautions that we are legally entitled to know about and that are not</w:t>
      </w:r>
      <w:r>
        <w:rPr>
          <w:spacing w:val="-2"/>
        </w:rPr>
        <w:t xml:space="preserve"> </w:t>
      </w:r>
      <w:r>
        <w:t>protected.</w:t>
      </w:r>
    </w:p>
    <w:p w:rsidR="00331C21" w:rsidRDefault="00331C21">
      <w:pPr>
        <w:pStyle w:val="BodyText"/>
      </w:pPr>
    </w:p>
    <w:p w:rsidR="00331C21" w:rsidRDefault="00B65110">
      <w:pPr>
        <w:pStyle w:val="BodyText"/>
        <w:ind w:left="544" w:right="597"/>
        <w:jc w:val="both"/>
      </w:pPr>
      <w:r>
        <w:t>Having</w:t>
      </w:r>
      <w:r>
        <w:rPr>
          <w:spacing w:val="-17"/>
        </w:rPr>
        <w:t xml:space="preserve"> </w:t>
      </w:r>
      <w:r>
        <w:t>a</w:t>
      </w:r>
      <w:r>
        <w:rPr>
          <w:spacing w:val="-16"/>
        </w:rPr>
        <w:t xml:space="preserve"> </w:t>
      </w:r>
      <w:r>
        <w:t>criminal</w:t>
      </w:r>
      <w:r>
        <w:rPr>
          <w:spacing w:val="-16"/>
        </w:rPr>
        <w:t xml:space="preserve"> </w:t>
      </w:r>
      <w:r>
        <w:t>record</w:t>
      </w:r>
      <w:r>
        <w:rPr>
          <w:spacing w:val="-16"/>
        </w:rPr>
        <w:t xml:space="preserve"> </w:t>
      </w:r>
      <w:r>
        <w:t>will</w:t>
      </w:r>
      <w:r>
        <w:rPr>
          <w:spacing w:val="-16"/>
        </w:rPr>
        <w:t xml:space="preserve"> </w:t>
      </w:r>
      <w:r>
        <w:t>not</w:t>
      </w:r>
      <w:r>
        <w:rPr>
          <w:spacing w:val="-16"/>
        </w:rPr>
        <w:t xml:space="preserve"> </w:t>
      </w:r>
      <w:r>
        <w:t>bar</w:t>
      </w:r>
      <w:r>
        <w:rPr>
          <w:spacing w:val="-17"/>
        </w:rPr>
        <w:t xml:space="preserve"> </w:t>
      </w:r>
      <w:r>
        <w:t>individuals</w:t>
      </w:r>
      <w:r>
        <w:rPr>
          <w:spacing w:val="-15"/>
        </w:rPr>
        <w:t xml:space="preserve"> </w:t>
      </w:r>
      <w:r>
        <w:t>from</w:t>
      </w:r>
      <w:r>
        <w:rPr>
          <w:spacing w:val="-16"/>
        </w:rPr>
        <w:t xml:space="preserve"> </w:t>
      </w:r>
      <w:r>
        <w:t>studying</w:t>
      </w:r>
      <w:r>
        <w:rPr>
          <w:spacing w:val="-16"/>
        </w:rPr>
        <w:t xml:space="preserve"> </w:t>
      </w:r>
      <w:r>
        <w:t>at</w:t>
      </w:r>
      <w:r>
        <w:rPr>
          <w:spacing w:val="-16"/>
        </w:rPr>
        <w:t xml:space="preserve"> </w:t>
      </w:r>
      <w:r>
        <w:t>the</w:t>
      </w:r>
      <w:r>
        <w:rPr>
          <w:spacing w:val="-17"/>
        </w:rPr>
        <w:t xml:space="preserve"> </w:t>
      </w:r>
      <w:r>
        <w:t>University.</w:t>
      </w:r>
      <w:r>
        <w:rPr>
          <w:spacing w:val="-16"/>
        </w:rPr>
        <w:t xml:space="preserve"> </w:t>
      </w:r>
      <w:r>
        <w:t>This</w:t>
      </w:r>
      <w:r>
        <w:rPr>
          <w:spacing w:val="-16"/>
        </w:rPr>
        <w:t xml:space="preserve"> </w:t>
      </w:r>
      <w:r>
        <w:t>will</w:t>
      </w:r>
      <w:r>
        <w:rPr>
          <w:spacing w:val="-17"/>
        </w:rPr>
        <w:t xml:space="preserve"> </w:t>
      </w:r>
      <w:r>
        <w:t>depend on the nature of the position and the circumstances a</w:t>
      </w:r>
      <w:r>
        <w:t>nd background of the offences. The University will not discriminate unfairly against any subject of a disclosure on the basis of conviction or other information revealed. The Policy &amp; Procedure for Considering New Applications</w:t>
      </w:r>
      <w:r>
        <w:rPr>
          <w:spacing w:val="-6"/>
        </w:rPr>
        <w:t xml:space="preserve"> </w:t>
      </w:r>
      <w:r>
        <w:t>and</w:t>
      </w:r>
      <w:r>
        <w:rPr>
          <w:spacing w:val="-6"/>
        </w:rPr>
        <w:t xml:space="preserve"> </w:t>
      </w:r>
      <w:r>
        <w:t>Applications</w:t>
      </w:r>
      <w:r>
        <w:rPr>
          <w:spacing w:val="-5"/>
        </w:rPr>
        <w:t xml:space="preserve"> </w:t>
      </w:r>
      <w:r>
        <w:t>for</w:t>
      </w:r>
      <w:r>
        <w:rPr>
          <w:spacing w:val="-7"/>
        </w:rPr>
        <w:t xml:space="preserve"> </w:t>
      </w:r>
      <w:r>
        <w:t>Re-admission</w:t>
      </w:r>
      <w:r>
        <w:rPr>
          <w:spacing w:val="-6"/>
        </w:rPr>
        <w:t xml:space="preserve"> </w:t>
      </w:r>
      <w:r>
        <w:t>to</w:t>
      </w:r>
      <w:r>
        <w:rPr>
          <w:spacing w:val="-3"/>
        </w:rPr>
        <w:t xml:space="preserve"> </w:t>
      </w:r>
      <w:r>
        <w:t>the</w:t>
      </w:r>
      <w:r>
        <w:rPr>
          <w:spacing w:val="-6"/>
        </w:rPr>
        <w:t xml:space="preserve"> </w:t>
      </w:r>
      <w:r>
        <w:t>University</w:t>
      </w:r>
      <w:r>
        <w:rPr>
          <w:spacing w:val="-5"/>
        </w:rPr>
        <w:t xml:space="preserve"> </w:t>
      </w:r>
      <w:r>
        <w:t>from</w:t>
      </w:r>
      <w:r>
        <w:rPr>
          <w:spacing w:val="-6"/>
        </w:rPr>
        <w:t xml:space="preserve"> </w:t>
      </w:r>
      <w:r>
        <w:t>Applicants</w:t>
      </w:r>
      <w:r>
        <w:rPr>
          <w:spacing w:val="-6"/>
        </w:rPr>
        <w:t xml:space="preserve"> </w:t>
      </w:r>
      <w:r>
        <w:t>with</w:t>
      </w:r>
      <w:r>
        <w:rPr>
          <w:spacing w:val="-6"/>
        </w:rPr>
        <w:t xml:space="preserve"> </w:t>
      </w:r>
      <w:r>
        <w:t>Criminal Convictions outlines the process which will be</w:t>
      </w:r>
      <w:r>
        <w:rPr>
          <w:spacing w:val="-3"/>
        </w:rPr>
        <w:t xml:space="preserve"> </w:t>
      </w:r>
      <w:r>
        <w:t>undertaken.</w:t>
      </w:r>
    </w:p>
    <w:p w:rsidR="00331C21" w:rsidRDefault="00331C21">
      <w:pPr>
        <w:pStyle w:val="BodyText"/>
      </w:pPr>
    </w:p>
    <w:p w:rsidR="00331C21" w:rsidRDefault="00B65110">
      <w:pPr>
        <w:pStyle w:val="BodyText"/>
        <w:ind w:left="544" w:right="597"/>
        <w:jc w:val="both"/>
      </w:pPr>
      <w:r>
        <w:t>The University will ensure that all those who are involved in the recruitment process will be suitably trained to identify and assess t</w:t>
      </w:r>
      <w:r>
        <w:t>he relevance and circumstances of offences. The University will also ensure that those involved in recruitment processes receive appropriate</w:t>
      </w:r>
    </w:p>
    <w:p w:rsidR="00331C21" w:rsidRDefault="00331C21">
      <w:pPr>
        <w:jc w:val="both"/>
        <w:sectPr w:rsidR="00331C21">
          <w:pgSz w:w="12240" w:h="15840"/>
          <w:pgMar w:top="1500" w:right="840" w:bottom="280" w:left="1180" w:header="720" w:footer="720" w:gutter="0"/>
          <w:cols w:space="720"/>
        </w:sectPr>
      </w:pPr>
    </w:p>
    <w:p w:rsidR="00331C21" w:rsidRDefault="00B65110">
      <w:pPr>
        <w:pStyle w:val="BodyText"/>
        <w:spacing w:before="77"/>
        <w:ind w:left="544" w:right="598"/>
        <w:jc w:val="both"/>
      </w:pPr>
      <w:r>
        <w:lastRenderedPageBreak/>
        <w:t xml:space="preserve">guidance in the relevant legislation relating to the employment of ex-offenders, e.g. the Rehabilitation </w:t>
      </w:r>
      <w:r>
        <w:t>of Offenders Act</w:t>
      </w:r>
      <w:r>
        <w:rPr>
          <w:spacing w:val="-1"/>
        </w:rPr>
        <w:t xml:space="preserve"> </w:t>
      </w:r>
      <w:r>
        <w:t>1974.</w:t>
      </w:r>
    </w:p>
    <w:p w:rsidR="00331C21" w:rsidRDefault="00331C21">
      <w:pPr>
        <w:pStyle w:val="BodyText"/>
      </w:pPr>
    </w:p>
    <w:p w:rsidR="00331C21" w:rsidRDefault="00B65110">
      <w:pPr>
        <w:pStyle w:val="BodyText"/>
        <w:ind w:left="544" w:right="596"/>
        <w:jc w:val="both"/>
      </w:pPr>
      <w:r>
        <w:t xml:space="preserve">Failure to reveal information that is directly relevant to the position sought could lead to withdrawal of an offer of a place on the </w:t>
      </w:r>
      <w:proofErr w:type="spellStart"/>
      <w:r>
        <w:t>programme</w:t>
      </w:r>
      <w:proofErr w:type="spellEnd"/>
      <w:r>
        <w:t xml:space="preserve"> of study. The University undertakes to discuss</w:t>
      </w:r>
      <w:r>
        <w:rPr>
          <w:spacing w:val="-9"/>
        </w:rPr>
        <w:t xml:space="preserve"> </w:t>
      </w:r>
      <w:r>
        <w:t>any</w:t>
      </w:r>
      <w:r>
        <w:rPr>
          <w:spacing w:val="-10"/>
        </w:rPr>
        <w:t xml:space="preserve"> </w:t>
      </w:r>
      <w:r>
        <w:t>matter</w:t>
      </w:r>
      <w:r>
        <w:rPr>
          <w:spacing w:val="-8"/>
        </w:rPr>
        <w:t xml:space="preserve"> </w:t>
      </w:r>
      <w:r>
        <w:t>revealed</w:t>
      </w:r>
      <w:r>
        <w:rPr>
          <w:spacing w:val="-9"/>
        </w:rPr>
        <w:t xml:space="preserve"> </w:t>
      </w:r>
      <w:r>
        <w:t>in</w:t>
      </w:r>
      <w:r>
        <w:rPr>
          <w:spacing w:val="-8"/>
        </w:rPr>
        <w:t xml:space="preserve"> </w:t>
      </w:r>
      <w:r>
        <w:t>a</w:t>
      </w:r>
      <w:r>
        <w:rPr>
          <w:spacing w:val="-8"/>
        </w:rPr>
        <w:t xml:space="preserve"> </w:t>
      </w:r>
      <w:r>
        <w:t>disclosure</w:t>
      </w:r>
      <w:r>
        <w:rPr>
          <w:spacing w:val="-9"/>
        </w:rPr>
        <w:t xml:space="preserve"> </w:t>
      </w:r>
      <w:r>
        <w:t>with</w:t>
      </w:r>
      <w:r>
        <w:rPr>
          <w:spacing w:val="-8"/>
        </w:rPr>
        <w:t xml:space="preserve"> </w:t>
      </w:r>
      <w:r>
        <w:t>the</w:t>
      </w:r>
      <w:r>
        <w:rPr>
          <w:spacing w:val="-8"/>
        </w:rPr>
        <w:t xml:space="preserve"> </w:t>
      </w:r>
      <w:r>
        <w:t>applicant</w:t>
      </w:r>
      <w:r>
        <w:rPr>
          <w:spacing w:val="-10"/>
        </w:rPr>
        <w:t xml:space="preserve"> </w:t>
      </w:r>
      <w:r>
        <w:t>before</w:t>
      </w:r>
      <w:r>
        <w:rPr>
          <w:spacing w:val="-9"/>
        </w:rPr>
        <w:t xml:space="preserve"> </w:t>
      </w:r>
      <w:r>
        <w:t>withdrawing</w:t>
      </w:r>
      <w:r>
        <w:rPr>
          <w:spacing w:val="-8"/>
        </w:rPr>
        <w:t xml:space="preserve"> </w:t>
      </w:r>
      <w:r>
        <w:t>a</w:t>
      </w:r>
      <w:r>
        <w:rPr>
          <w:spacing w:val="-8"/>
        </w:rPr>
        <w:t xml:space="preserve"> </w:t>
      </w:r>
      <w:r>
        <w:t>conditional offer of a place on a course of</w:t>
      </w:r>
      <w:r>
        <w:rPr>
          <w:spacing w:val="-1"/>
        </w:rPr>
        <w:t xml:space="preserve"> </w:t>
      </w:r>
      <w:r>
        <w:t>study.</w:t>
      </w:r>
    </w:p>
    <w:p w:rsidR="00331C21" w:rsidRDefault="00331C21">
      <w:pPr>
        <w:pStyle w:val="BodyText"/>
        <w:spacing w:before="2"/>
      </w:pPr>
    </w:p>
    <w:p w:rsidR="00331C21" w:rsidRDefault="00B65110">
      <w:pPr>
        <w:pStyle w:val="Heading1"/>
        <w:numPr>
          <w:ilvl w:val="1"/>
          <w:numId w:val="2"/>
        </w:numPr>
        <w:tabs>
          <w:tab w:val="left" w:pos="545"/>
        </w:tabs>
        <w:spacing w:line="252" w:lineRule="exact"/>
        <w:ind w:hanging="427"/>
        <w:jc w:val="both"/>
      </w:pPr>
      <w:r>
        <w:t>Self-Disclosure</w:t>
      </w:r>
    </w:p>
    <w:p w:rsidR="00331C21" w:rsidRDefault="00B65110">
      <w:pPr>
        <w:pStyle w:val="BodyText"/>
        <w:ind w:left="544" w:right="596"/>
        <w:jc w:val="both"/>
      </w:pPr>
      <w:r>
        <w:t>The University asks all applicants to voluntarily provide details of their criminal record at an early</w:t>
      </w:r>
      <w:r>
        <w:rPr>
          <w:spacing w:val="-6"/>
        </w:rPr>
        <w:t xml:space="preserve"> </w:t>
      </w:r>
      <w:r>
        <w:t>stage</w:t>
      </w:r>
      <w:r>
        <w:rPr>
          <w:spacing w:val="-5"/>
        </w:rPr>
        <w:t xml:space="preserve"> </w:t>
      </w:r>
      <w:r>
        <w:t>in</w:t>
      </w:r>
      <w:r>
        <w:rPr>
          <w:spacing w:val="-5"/>
        </w:rPr>
        <w:t xml:space="preserve"> </w:t>
      </w:r>
      <w:r>
        <w:t>the</w:t>
      </w:r>
      <w:r>
        <w:rPr>
          <w:spacing w:val="-5"/>
        </w:rPr>
        <w:t xml:space="preserve"> </w:t>
      </w:r>
      <w:r>
        <w:t>application</w:t>
      </w:r>
      <w:r>
        <w:rPr>
          <w:spacing w:val="-5"/>
        </w:rPr>
        <w:t xml:space="preserve"> </w:t>
      </w:r>
      <w:r>
        <w:t>process.</w:t>
      </w:r>
      <w:r>
        <w:rPr>
          <w:spacing w:val="-5"/>
        </w:rPr>
        <w:t xml:space="preserve"> </w:t>
      </w:r>
      <w:r>
        <w:t>This</w:t>
      </w:r>
      <w:r>
        <w:rPr>
          <w:spacing w:val="-6"/>
        </w:rPr>
        <w:t xml:space="preserve"> </w:t>
      </w:r>
      <w:r>
        <w:t>information</w:t>
      </w:r>
      <w:r>
        <w:rPr>
          <w:spacing w:val="-6"/>
        </w:rPr>
        <w:t xml:space="preserve"> </w:t>
      </w:r>
      <w:r>
        <w:t>will</w:t>
      </w:r>
      <w:r>
        <w:rPr>
          <w:spacing w:val="-5"/>
        </w:rPr>
        <w:t xml:space="preserve"> </w:t>
      </w:r>
      <w:r>
        <w:t>only</w:t>
      </w:r>
      <w:r>
        <w:rPr>
          <w:spacing w:val="-5"/>
        </w:rPr>
        <w:t xml:space="preserve"> </w:t>
      </w:r>
      <w:r>
        <w:t>be</w:t>
      </w:r>
      <w:r>
        <w:rPr>
          <w:spacing w:val="-5"/>
        </w:rPr>
        <w:t xml:space="preserve"> </w:t>
      </w:r>
      <w:r>
        <w:t>seen</w:t>
      </w:r>
      <w:r>
        <w:rPr>
          <w:spacing w:val="-6"/>
        </w:rPr>
        <w:t xml:space="preserve"> </w:t>
      </w:r>
      <w:r>
        <w:t>by</w:t>
      </w:r>
      <w:r>
        <w:rPr>
          <w:spacing w:val="-5"/>
        </w:rPr>
        <w:t xml:space="preserve"> </w:t>
      </w:r>
      <w:r>
        <w:t>those</w:t>
      </w:r>
      <w:r>
        <w:rPr>
          <w:spacing w:val="-5"/>
        </w:rPr>
        <w:t xml:space="preserve"> </w:t>
      </w:r>
      <w:r>
        <w:t>who</w:t>
      </w:r>
      <w:r>
        <w:rPr>
          <w:spacing w:val="-6"/>
        </w:rPr>
        <w:t xml:space="preserve"> </w:t>
      </w:r>
      <w:r>
        <w:t>need</w:t>
      </w:r>
      <w:r>
        <w:rPr>
          <w:spacing w:val="-5"/>
        </w:rPr>
        <w:t xml:space="preserve"> </w:t>
      </w:r>
      <w:r>
        <w:t>to see it as part of the admissions process. It will be treated in strict confidence, will be securely stored and kept for only as long as is necessary. Failure to disclose convictions on an application form that is directly relevant to the position sought</w:t>
      </w:r>
      <w:r>
        <w:t xml:space="preserve"> could lead to withdrawal of an offer of</w:t>
      </w:r>
      <w:r>
        <w:rPr>
          <w:spacing w:val="-1"/>
        </w:rPr>
        <w:t xml:space="preserve"> </w:t>
      </w:r>
      <w:r>
        <w:t>employment.</w:t>
      </w:r>
    </w:p>
    <w:p w:rsidR="00331C21" w:rsidRDefault="00331C21">
      <w:pPr>
        <w:pStyle w:val="BodyText"/>
      </w:pPr>
    </w:p>
    <w:p w:rsidR="00331C21" w:rsidRDefault="00B65110">
      <w:pPr>
        <w:pStyle w:val="Heading1"/>
        <w:numPr>
          <w:ilvl w:val="1"/>
          <w:numId w:val="2"/>
        </w:numPr>
        <w:tabs>
          <w:tab w:val="left" w:pos="545"/>
        </w:tabs>
        <w:spacing w:before="1" w:line="252" w:lineRule="exact"/>
        <w:ind w:hanging="427"/>
        <w:jc w:val="both"/>
      </w:pPr>
      <w:r>
        <w:t>Protection of a Rehabilitated</w:t>
      </w:r>
      <w:r>
        <w:rPr>
          <w:spacing w:val="-1"/>
        </w:rPr>
        <w:t xml:space="preserve"> </w:t>
      </w:r>
      <w:r>
        <w:t>Person</w:t>
      </w:r>
    </w:p>
    <w:p w:rsidR="00331C21" w:rsidRDefault="00B65110">
      <w:pPr>
        <w:pStyle w:val="BodyText"/>
        <w:ind w:left="544" w:right="595"/>
        <w:jc w:val="both"/>
      </w:pPr>
      <w:r>
        <w:t xml:space="preserve">The </w:t>
      </w:r>
      <w:proofErr w:type="spellStart"/>
      <w:r>
        <w:t>unauthorised</w:t>
      </w:r>
      <w:proofErr w:type="spellEnd"/>
      <w:r>
        <w:t xml:space="preserve"> disclosure of information about a spent conviction is illegal. </w:t>
      </w:r>
      <w:proofErr w:type="spellStart"/>
      <w:r>
        <w:t>Unauthorised</w:t>
      </w:r>
      <w:proofErr w:type="spellEnd"/>
      <w:r>
        <w:t xml:space="preserve"> disclosure is where an official with access to information about the per</w:t>
      </w:r>
      <w:r>
        <w:t>son’s criminal record discloses this information other than in the course of official duties. Serious misuse of a person’s</w:t>
      </w:r>
      <w:r>
        <w:rPr>
          <w:spacing w:val="-4"/>
        </w:rPr>
        <w:t xml:space="preserve"> </w:t>
      </w:r>
      <w:r>
        <w:t>criminal</w:t>
      </w:r>
      <w:r>
        <w:rPr>
          <w:spacing w:val="-4"/>
        </w:rPr>
        <w:t xml:space="preserve"> </w:t>
      </w:r>
      <w:r>
        <w:t>record</w:t>
      </w:r>
      <w:r>
        <w:rPr>
          <w:spacing w:val="-4"/>
        </w:rPr>
        <w:t xml:space="preserve"> </w:t>
      </w:r>
      <w:r>
        <w:t>could</w:t>
      </w:r>
      <w:r>
        <w:rPr>
          <w:spacing w:val="-3"/>
        </w:rPr>
        <w:t xml:space="preserve"> </w:t>
      </w:r>
      <w:r>
        <w:t>result</w:t>
      </w:r>
      <w:r>
        <w:rPr>
          <w:spacing w:val="-5"/>
        </w:rPr>
        <w:t xml:space="preserve"> </w:t>
      </w:r>
      <w:r>
        <w:t>in</w:t>
      </w:r>
      <w:r>
        <w:rPr>
          <w:spacing w:val="-4"/>
        </w:rPr>
        <w:t xml:space="preserve"> </w:t>
      </w:r>
      <w:r>
        <w:t>a</w:t>
      </w:r>
      <w:r>
        <w:rPr>
          <w:spacing w:val="-3"/>
        </w:rPr>
        <w:t xml:space="preserve"> </w:t>
      </w:r>
      <w:r>
        <w:t>prison</w:t>
      </w:r>
      <w:r>
        <w:rPr>
          <w:spacing w:val="-2"/>
        </w:rPr>
        <w:t xml:space="preserve"> </w:t>
      </w:r>
      <w:r>
        <w:t>sentence</w:t>
      </w:r>
      <w:r>
        <w:rPr>
          <w:spacing w:val="-4"/>
        </w:rPr>
        <w:t xml:space="preserve"> </w:t>
      </w:r>
      <w:r>
        <w:t>of</w:t>
      </w:r>
      <w:r>
        <w:rPr>
          <w:spacing w:val="-3"/>
        </w:rPr>
        <w:t xml:space="preserve"> </w:t>
      </w:r>
      <w:r>
        <w:t>up</w:t>
      </w:r>
      <w:r>
        <w:rPr>
          <w:spacing w:val="-4"/>
        </w:rPr>
        <w:t xml:space="preserve"> </w:t>
      </w:r>
      <w:r>
        <w:t>to</w:t>
      </w:r>
      <w:r>
        <w:rPr>
          <w:spacing w:val="-3"/>
        </w:rPr>
        <w:t xml:space="preserve"> </w:t>
      </w:r>
      <w:r>
        <w:t>six</w:t>
      </w:r>
      <w:r>
        <w:rPr>
          <w:spacing w:val="-1"/>
        </w:rPr>
        <w:t xml:space="preserve"> </w:t>
      </w:r>
      <w:r>
        <w:t>months</w:t>
      </w:r>
      <w:r>
        <w:rPr>
          <w:spacing w:val="-4"/>
        </w:rPr>
        <w:t xml:space="preserve"> </w:t>
      </w:r>
      <w:r>
        <w:t>or</w:t>
      </w:r>
      <w:r>
        <w:rPr>
          <w:spacing w:val="-4"/>
        </w:rPr>
        <w:t xml:space="preserve"> </w:t>
      </w:r>
      <w:r>
        <w:t>a</w:t>
      </w:r>
      <w:r>
        <w:rPr>
          <w:spacing w:val="-3"/>
        </w:rPr>
        <w:t xml:space="preserve"> </w:t>
      </w:r>
      <w:r>
        <w:t>fine</w:t>
      </w:r>
      <w:r>
        <w:rPr>
          <w:spacing w:val="-3"/>
        </w:rPr>
        <w:t xml:space="preserve"> </w:t>
      </w:r>
      <w:r>
        <w:t>of</w:t>
      </w:r>
      <w:r>
        <w:rPr>
          <w:spacing w:val="-4"/>
        </w:rPr>
        <w:t xml:space="preserve"> </w:t>
      </w:r>
      <w:r>
        <w:t>up</w:t>
      </w:r>
      <w:r>
        <w:rPr>
          <w:spacing w:val="-4"/>
        </w:rPr>
        <w:t xml:space="preserve"> </w:t>
      </w:r>
      <w:r>
        <w:t>to</w:t>
      </w:r>
    </w:p>
    <w:p w:rsidR="00331C21" w:rsidRDefault="00B65110">
      <w:pPr>
        <w:pStyle w:val="BodyText"/>
        <w:spacing w:line="253" w:lineRule="exact"/>
        <w:ind w:left="544"/>
        <w:jc w:val="both"/>
      </w:pPr>
      <w:r>
        <w:t>£1,000, or both.</w:t>
      </w:r>
    </w:p>
    <w:p w:rsidR="00331C21" w:rsidRDefault="00331C21">
      <w:pPr>
        <w:pStyle w:val="BodyText"/>
        <w:spacing w:before="1"/>
      </w:pPr>
    </w:p>
    <w:p w:rsidR="00331C21" w:rsidRDefault="00B65110">
      <w:pPr>
        <w:pStyle w:val="Heading1"/>
        <w:numPr>
          <w:ilvl w:val="0"/>
          <w:numId w:val="2"/>
        </w:numPr>
        <w:tabs>
          <w:tab w:val="left" w:pos="544"/>
          <w:tab w:val="left" w:pos="545"/>
        </w:tabs>
        <w:ind w:hanging="427"/>
      </w:pPr>
      <w:r>
        <w:t>The Scope of the Policy</w:t>
      </w:r>
      <w:r>
        <w:rPr>
          <w:spacing w:val="-2"/>
        </w:rPr>
        <w:t xml:space="preserve"> </w:t>
      </w:r>
      <w:r>
        <w:t>St</w:t>
      </w:r>
      <w:r>
        <w:t>atement</w:t>
      </w:r>
    </w:p>
    <w:p w:rsidR="00331C21" w:rsidRDefault="00331C21">
      <w:pPr>
        <w:pStyle w:val="BodyText"/>
        <w:spacing w:before="9"/>
        <w:rPr>
          <w:b/>
          <w:sz w:val="21"/>
        </w:rPr>
      </w:pPr>
    </w:p>
    <w:p w:rsidR="00331C21" w:rsidRDefault="00B65110">
      <w:pPr>
        <w:pStyle w:val="BodyText"/>
        <w:ind w:left="544"/>
        <w:jc w:val="both"/>
      </w:pPr>
      <w:r>
        <w:t xml:space="preserve">This policy statement applies to applicants for all </w:t>
      </w:r>
      <w:proofErr w:type="spellStart"/>
      <w:r>
        <w:t>programmes</w:t>
      </w:r>
      <w:proofErr w:type="spellEnd"/>
      <w:r>
        <w:t xml:space="preserve"> at the University.</w:t>
      </w:r>
    </w:p>
    <w:p w:rsidR="00331C21" w:rsidRDefault="00331C21">
      <w:pPr>
        <w:pStyle w:val="BodyText"/>
        <w:spacing w:before="2"/>
      </w:pPr>
    </w:p>
    <w:p w:rsidR="00331C21" w:rsidRDefault="00B65110">
      <w:pPr>
        <w:pStyle w:val="Heading1"/>
        <w:numPr>
          <w:ilvl w:val="0"/>
          <w:numId w:val="2"/>
        </w:numPr>
        <w:tabs>
          <w:tab w:val="left" w:pos="544"/>
          <w:tab w:val="left" w:pos="545"/>
        </w:tabs>
        <w:ind w:hanging="427"/>
      </w:pPr>
      <w:r>
        <w:t>Responsibilities for</w:t>
      </w:r>
      <w:r>
        <w:rPr>
          <w:spacing w:val="-1"/>
        </w:rPr>
        <w:t xml:space="preserve"> </w:t>
      </w:r>
      <w:r>
        <w:t>Delivery</w:t>
      </w:r>
    </w:p>
    <w:p w:rsidR="00331C21" w:rsidRDefault="00331C21">
      <w:pPr>
        <w:pStyle w:val="BodyText"/>
        <w:rPr>
          <w:b/>
        </w:rPr>
      </w:pPr>
    </w:p>
    <w:p w:rsidR="00331C21" w:rsidRDefault="00B65110">
      <w:pPr>
        <w:pStyle w:val="ListParagraph"/>
        <w:numPr>
          <w:ilvl w:val="1"/>
          <w:numId w:val="2"/>
        </w:numPr>
        <w:tabs>
          <w:tab w:val="left" w:pos="545"/>
        </w:tabs>
        <w:spacing w:line="252" w:lineRule="exact"/>
        <w:ind w:hanging="427"/>
        <w:jc w:val="both"/>
        <w:rPr>
          <w:b/>
        </w:rPr>
      </w:pPr>
      <w:r>
        <w:rPr>
          <w:b/>
        </w:rPr>
        <w:t>Responsibilities of</w:t>
      </w:r>
      <w:r>
        <w:rPr>
          <w:b/>
          <w:spacing w:val="-1"/>
        </w:rPr>
        <w:t xml:space="preserve"> </w:t>
      </w:r>
      <w:r>
        <w:rPr>
          <w:b/>
        </w:rPr>
        <w:t>Admissions</w:t>
      </w:r>
    </w:p>
    <w:p w:rsidR="00331C21" w:rsidRDefault="00B65110">
      <w:pPr>
        <w:pStyle w:val="ListParagraph"/>
        <w:numPr>
          <w:ilvl w:val="2"/>
          <w:numId w:val="2"/>
        </w:numPr>
        <w:tabs>
          <w:tab w:val="left" w:pos="979"/>
          <w:tab w:val="left" w:pos="981"/>
        </w:tabs>
        <w:spacing w:line="269" w:lineRule="exact"/>
        <w:ind w:hanging="437"/>
      </w:pPr>
      <w:r>
        <w:t>To manage recruitment and selection processes and</w:t>
      </w:r>
      <w:r>
        <w:rPr>
          <w:spacing w:val="-2"/>
        </w:rPr>
        <w:t xml:space="preserve"> </w:t>
      </w:r>
      <w:r>
        <w:t>procedures</w:t>
      </w:r>
    </w:p>
    <w:p w:rsidR="00331C21" w:rsidRDefault="00331C21">
      <w:pPr>
        <w:pStyle w:val="BodyText"/>
        <w:spacing w:before="10"/>
        <w:rPr>
          <w:sz w:val="21"/>
        </w:rPr>
      </w:pPr>
    </w:p>
    <w:p w:rsidR="00331C21" w:rsidRDefault="00B65110">
      <w:pPr>
        <w:pStyle w:val="Heading1"/>
        <w:numPr>
          <w:ilvl w:val="1"/>
          <w:numId w:val="2"/>
        </w:numPr>
        <w:tabs>
          <w:tab w:val="left" w:pos="545"/>
        </w:tabs>
        <w:spacing w:before="1"/>
        <w:ind w:right="596"/>
      </w:pPr>
      <w:r>
        <w:t>Responsibilities of Admissions / Admissions Tutors / Heads of School / Academic Registry</w:t>
      </w:r>
    </w:p>
    <w:p w:rsidR="00331C21" w:rsidRDefault="00B65110">
      <w:pPr>
        <w:pStyle w:val="ListParagraph"/>
        <w:numPr>
          <w:ilvl w:val="2"/>
          <w:numId w:val="2"/>
        </w:numPr>
        <w:tabs>
          <w:tab w:val="left" w:pos="969"/>
          <w:tab w:val="left" w:pos="970"/>
        </w:tabs>
        <w:spacing w:before="2" w:line="237" w:lineRule="auto"/>
        <w:ind w:left="969" w:right="600" w:hanging="360"/>
      </w:pPr>
      <w:r>
        <w:t>If raised, to ensure a measured discussion on the subject of any offences or other matter that might be relevant to the position takes</w:t>
      </w:r>
      <w:r>
        <w:rPr>
          <w:spacing w:val="-2"/>
        </w:rPr>
        <w:t xml:space="preserve"> </w:t>
      </w:r>
      <w:r>
        <w:t>place</w:t>
      </w:r>
    </w:p>
    <w:p w:rsidR="00331C21" w:rsidRDefault="00331C21">
      <w:pPr>
        <w:pStyle w:val="BodyText"/>
        <w:spacing w:before="2"/>
      </w:pPr>
    </w:p>
    <w:p w:rsidR="00331C21" w:rsidRDefault="00B65110">
      <w:pPr>
        <w:pStyle w:val="Heading1"/>
        <w:numPr>
          <w:ilvl w:val="1"/>
          <w:numId w:val="2"/>
        </w:numPr>
        <w:tabs>
          <w:tab w:val="left" w:pos="545"/>
        </w:tabs>
        <w:ind w:hanging="427"/>
      </w:pPr>
      <w:r>
        <w:t>Responsibilities of All</w:t>
      </w:r>
      <w:r>
        <w:rPr>
          <w:spacing w:val="-1"/>
        </w:rPr>
        <w:t xml:space="preserve"> </w:t>
      </w:r>
      <w:r>
        <w:t>Staff</w:t>
      </w:r>
    </w:p>
    <w:p w:rsidR="00331C21" w:rsidRDefault="00B65110">
      <w:pPr>
        <w:pStyle w:val="ListParagraph"/>
        <w:numPr>
          <w:ilvl w:val="2"/>
          <w:numId w:val="2"/>
        </w:numPr>
        <w:tabs>
          <w:tab w:val="left" w:pos="979"/>
          <w:tab w:val="left" w:pos="981"/>
        </w:tabs>
        <w:ind w:hanging="437"/>
      </w:pPr>
      <w:r>
        <w:t>To make themselves aware of this policy and to comply with its</w:t>
      </w:r>
      <w:r>
        <w:rPr>
          <w:spacing w:val="-4"/>
        </w:rPr>
        <w:t xml:space="preserve"> </w:t>
      </w:r>
      <w:r>
        <w:t>requirements.</w:t>
      </w:r>
    </w:p>
    <w:p w:rsidR="00331C21" w:rsidRDefault="00331C21">
      <w:pPr>
        <w:pStyle w:val="BodyText"/>
        <w:spacing w:before="10"/>
        <w:rPr>
          <w:sz w:val="21"/>
        </w:rPr>
      </w:pPr>
    </w:p>
    <w:p w:rsidR="00331C21" w:rsidRDefault="00B65110">
      <w:pPr>
        <w:pStyle w:val="Heading1"/>
        <w:numPr>
          <w:ilvl w:val="1"/>
          <w:numId w:val="2"/>
        </w:numPr>
        <w:tabs>
          <w:tab w:val="left" w:pos="545"/>
        </w:tabs>
        <w:spacing w:line="252" w:lineRule="exact"/>
        <w:ind w:hanging="427"/>
        <w:jc w:val="both"/>
      </w:pPr>
      <w:r>
        <w:t>Responsibilities of</w:t>
      </w:r>
      <w:r>
        <w:rPr>
          <w:spacing w:val="-1"/>
        </w:rPr>
        <w:t xml:space="preserve"> </w:t>
      </w:r>
      <w:r>
        <w:t>applicants</w:t>
      </w:r>
    </w:p>
    <w:p w:rsidR="00331C21" w:rsidRDefault="00B65110">
      <w:pPr>
        <w:pStyle w:val="ListParagraph"/>
        <w:numPr>
          <w:ilvl w:val="2"/>
          <w:numId w:val="2"/>
        </w:numPr>
        <w:tabs>
          <w:tab w:val="left" w:pos="979"/>
          <w:tab w:val="left" w:pos="981"/>
        </w:tabs>
        <w:spacing w:line="269" w:lineRule="exact"/>
        <w:ind w:hanging="437"/>
      </w:pPr>
      <w:r>
        <w:t>To disclosure criminal record information at an early</w:t>
      </w:r>
      <w:r>
        <w:rPr>
          <w:spacing w:val="-2"/>
        </w:rPr>
        <w:t xml:space="preserve"> </w:t>
      </w:r>
      <w:r>
        <w:t>stage</w:t>
      </w:r>
    </w:p>
    <w:p w:rsidR="00331C21" w:rsidRDefault="00331C21">
      <w:pPr>
        <w:pStyle w:val="BodyText"/>
        <w:spacing w:before="10"/>
        <w:rPr>
          <w:sz w:val="21"/>
        </w:rPr>
      </w:pPr>
    </w:p>
    <w:p w:rsidR="00331C21" w:rsidRDefault="00B65110">
      <w:pPr>
        <w:pStyle w:val="Heading1"/>
        <w:numPr>
          <w:ilvl w:val="1"/>
          <w:numId w:val="2"/>
        </w:numPr>
        <w:tabs>
          <w:tab w:val="left" w:pos="545"/>
        </w:tabs>
        <w:ind w:hanging="427"/>
      </w:pPr>
      <w:r>
        <w:t>Responsibilities of all current</w:t>
      </w:r>
      <w:r>
        <w:rPr>
          <w:spacing w:val="59"/>
        </w:rPr>
        <w:t xml:space="preserve"> </w:t>
      </w:r>
      <w:r>
        <w:t>students</w:t>
      </w:r>
    </w:p>
    <w:p w:rsidR="00331C21" w:rsidRDefault="00B65110">
      <w:pPr>
        <w:pStyle w:val="ListParagraph"/>
        <w:numPr>
          <w:ilvl w:val="2"/>
          <w:numId w:val="2"/>
        </w:numPr>
        <w:tabs>
          <w:tab w:val="left" w:pos="827"/>
          <w:tab w:val="left" w:pos="828"/>
        </w:tabs>
        <w:spacing w:line="268" w:lineRule="exact"/>
        <w:ind w:left="827"/>
      </w:pPr>
      <w:r>
        <w:t>To make themselves aware of this policy and to comply with its</w:t>
      </w:r>
      <w:r>
        <w:rPr>
          <w:spacing w:val="-4"/>
        </w:rPr>
        <w:t xml:space="preserve"> </w:t>
      </w:r>
      <w:r>
        <w:t>requirements.</w:t>
      </w:r>
    </w:p>
    <w:p w:rsidR="00331C21" w:rsidRDefault="00B65110">
      <w:pPr>
        <w:pStyle w:val="ListParagraph"/>
        <w:numPr>
          <w:ilvl w:val="2"/>
          <w:numId w:val="2"/>
        </w:numPr>
        <w:tabs>
          <w:tab w:val="left" w:pos="827"/>
          <w:tab w:val="left" w:pos="828"/>
        </w:tabs>
        <w:ind w:left="827" w:right="115"/>
      </w:pPr>
      <w:r>
        <w:t>To report any relevant changes of circumstance to the University including but not limited to criminal investigations, convictions or</w:t>
      </w:r>
      <w:r>
        <w:rPr>
          <w:spacing w:val="-1"/>
        </w:rPr>
        <w:t xml:space="preserve"> </w:t>
      </w:r>
      <w:r>
        <w:t>warnings.</w:t>
      </w:r>
    </w:p>
    <w:p w:rsidR="00331C21" w:rsidRDefault="00331C21">
      <w:pPr>
        <w:pStyle w:val="BodyText"/>
        <w:spacing w:before="9"/>
        <w:rPr>
          <w:sz w:val="21"/>
        </w:rPr>
      </w:pPr>
    </w:p>
    <w:p w:rsidR="00331C21" w:rsidRDefault="00B65110">
      <w:pPr>
        <w:pStyle w:val="Heading1"/>
        <w:numPr>
          <w:ilvl w:val="0"/>
          <w:numId w:val="2"/>
        </w:numPr>
        <w:tabs>
          <w:tab w:val="left" w:pos="544"/>
          <w:tab w:val="left" w:pos="545"/>
        </w:tabs>
        <w:ind w:hanging="427"/>
      </w:pPr>
      <w:r>
        <w:t>Implementation</w:t>
      </w:r>
      <w:r>
        <w:rPr>
          <w:spacing w:val="-1"/>
        </w:rPr>
        <w:t xml:space="preserve"> </w:t>
      </w:r>
      <w:r>
        <w:t>Strategy</w:t>
      </w:r>
    </w:p>
    <w:p w:rsidR="00331C21" w:rsidRDefault="00331C21">
      <w:pPr>
        <w:sectPr w:rsidR="00331C21">
          <w:pgSz w:w="12240" w:h="15840"/>
          <w:pgMar w:top="1360" w:right="840" w:bottom="280" w:left="1180" w:header="720" w:footer="720" w:gutter="0"/>
          <w:cols w:space="720"/>
        </w:sectPr>
      </w:pPr>
    </w:p>
    <w:p w:rsidR="00331C21" w:rsidRDefault="00B65110">
      <w:pPr>
        <w:pStyle w:val="ListParagraph"/>
        <w:numPr>
          <w:ilvl w:val="1"/>
          <w:numId w:val="2"/>
        </w:numPr>
        <w:tabs>
          <w:tab w:val="left" w:pos="545"/>
        </w:tabs>
        <w:spacing w:before="79" w:line="252" w:lineRule="exact"/>
        <w:ind w:hanging="427"/>
        <w:rPr>
          <w:b/>
        </w:rPr>
      </w:pPr>
      <w:r>
        <w:rPr>
          <w:b/>
        </w:rPr>
        <w:lastRenderedPageBreak/>
        <w:t>Support and</w:t>
      </w:r>
      <w:r>
        <w:rPr>
          <w:b/>
          <w:spacing w:val="-1"/>
        </w:rPr>
        <w:t xml:space="preserve"> </w:t>
      </w:r>
      <w:r>
        <w:rPr>
          <w:b/>
        </w:rPr>
        <w:t>Advice</w:t>
      </w:r>
    </w:p>
    <w:p w:rsidR="00331C21" w:rsidRDefault="00B65110">
      <w:pPr>
        <w:pStyle w:val="BodyText"/>
        <w:spacing w:line="252" w:lineRule="exact"/>
        <w:ind w:left="544"/>
      </w:pPr>
      <w:r>
        <w:t>Further support and advice can be obtained from the Academic Registry</w:t>
      </w:r>
    </w:p>
    <w:p w:rsidR="00331C21" w:rsidRDefault="00331C21">
      <w:pPr>
        <w:pStyle w:val="BodyText"/>
      </w:pPr>
    </w:p>
    <w:p w:rsidR="00331C21" w:rsidRDefault="00B65110">
      <w:pPr>
        <w:pStyle w:val="Heading1"/>
        <w:numPr>
          <w:ilvl w:val="1"/>
          <w:numId w:val="2"/>
        </w:numPr>
        <w:tabs>
          <w:tab w:val="left" w:pos="606"/>
        </w:tabs>
        <w:ind w:left="605" w:hanging="488"/>
      </w:pPr>
      <w:r>
        <w:t>Policies &amp;</w:t>
      </w:r>
      <w:r>
        <w:rPr>
          <w:spacing w:val="-1"/>
        </w:rPr>
        <w:t xml:space="preserve"> </w:t>
      </w:r>
      <w:r>
        <w:t>Procedures</w:t>
      </w:r>
    </w:p>
    <w:p w:rsidR="00331C21" w:rsidRDefault="00B65110">
      <w:pPr>
        <w:pStyle w:val="ListParagraph"/>
        <w:numPr>
          <w:ilvl w:val="2"/>
          <w:numId w:val="2"/>
        </w:numPr>
        <w:tabs>
          <w:tab w:val="left" w:pos="1264"/>
          <w:tab w:val="left" w:pos="1265"/>
        </w:tabs>
        <w:ind w:left="1264" w:right="544"/>
      </w:pPr>
      <w:r>
        <w:t xml:space="preserve">Wrexham Glyndŵr University Policy &amp; Procedure for Considering Admission to the University for </w:t>
      </w:r>
      <w:proofErr w:type="spellStart"/>
      <w:r>
        <w:t>Programmes</w:t>
      </w:r>
      <w:proofErr w:type="spellEnd"/>
      <w:r>
        <w:t xml:space="preserve"> Requiring a DBS Check and from Candidat</w:t>
      </w:r>
      <w:r>
        <w:t>es with</w:t>
      </w:r>
      <w:r>
        <w:rPr>
          <w:spacing w:val="-15"/>
        </w:rPr>
        <w:t xml:space="preserve"> </w:t>
      </w:r>
      <w:r>
        <w:t>Criminal Convictions</w:t>
      </w:r>
    </w:p>
    <w:p w:rsidR="00331C21" w:rsidRDefault="00B65110">
      <w:pPr>
        <w:pStyle w:val="ListParagraph"/>
        <w:numPr>
          <w:ilvl w:val="0"/>
          <w:numId w:val="1"/>
        </w:numPr>
        <w:tabs>
          <w:tab w:val="left" w:pos="979"/>
          <w:tab w:val="left" w:pos="981"/>
        </w:tabs>
        <w:spacing w:line="267" w:lineRule="exact"/>
        <w:ind w:hanging="437"/>
      </w:pPr>
      <w:r>
        <w:t>Wrexham Glyndŵr University Secure Storage Use Retention and Disposal</w:t>
      </w:r>
      <w:r>
        <w:rPr>
          <w:spacing w:val="-7"/>
        </w:rPr>
        <w:t xml:space="preserve"> </w:t>
      </w:r>
      <w:r>
        <w:t>Policy</w:t>
      </w:r>
    </w:p>
    <w:p w:rsidR="00331C21" w:rsidRDefault="00B65110">
      <w:pPr>
        <w:pStyle w:val="ListParagraph"/>
        <w:numPr>
          <w:ilvl w:val="0"/>
          <w:numId w:val="1"/>
        </w:numPr>
        <w:tabs>
          <w:tab w:val="left" w:pos="979"/>
          <w:tab w:val="left" w:pos="981"/>
        </w:tabs>
        <w:spacing w:line="269" w:lineRule="exact"/>
        <w:ind w:hanging="437"/>
      </w:pPr>
      <w:r>
        <w:t>Wrexham Glyndŵr University Referral to the Disclosure and Barring</w:t>
      </w:r>
      <w:r>
        <w:rPr>
          <w:spacing w:val="-4"/>
        </w:rPr>
        <w:t xml:space="preserve"> </w:t>
      </w:r>
      <w:r>
        <w:t>Service</w:t>
      </w:r>
    </w:p>
    <w:p w:rsidR="00331C21" w:rsidRDefault="00331C21">
      <w:pPr>
        <w:pStyle w:val="BodyText"/>
        <w:spacing w:before="10"/>
        <w:rPr>
          <w:sz w:val="21"/>
        </w:rPr>
      </w:pPr>
    </w:p>
    <w:p w:rsidR="00331C21" w:rsidRDefault="00B65110">
      <w:pPr>
        <w:pStyle w:val="Heading1"/>
        <w:numPr>
          <w:ilvl w:val="1"/>
          <w:numId w:val="2"/>
        </w:numPr>
        <w:tabs>
          <w:tab w:val="left" w:pos="545"/>
        </w:tabs>
        <w:ind w:hanging="427"/>
      </w:pPr>
      <w:r>
        <w:t>Guidelines and</w:t>
      </w:r>
      <w:r>
        <w:rPr>
          <w:spacing w:val="-1"/>
        </w:rPr>
        <w:t xml:space="preserve"> </w:t>
      </w:r>
      <w:r>
        <w:t>Forms</w:t>
      </w:r>
    </w:p>
    <w:p w:rsidR="00331C21" w:rsidRDefault="00B65110">
      <w:pPr>
        <w:pStyle w:val="ListParagraph"/>
        <w:numPr>
          <w:ilvl w:val="2"/>
          <w:numId w:val="2"/>
        </w:numPr>
        <w:tabs>
          <w:tab w:val="left" w:pos="969"/>
          <w:tab w:val="left" w:pos="970"/>
        </w:tabs>
        <w:spacing w:line="268" w:lineRule="exact"/>
        <w:ind w:left="969"/>
      </w:pPr>
      <w:r>
        <w:t>DBS Code of</w:t>
      </w:r>
      <w:r>
        <w:rPr>
          <w:spacing w:val="-1"/>
        </w:rPr>
        <w:t xml:space="preserve"> </w:t>
      </w:r>
      <w:r>
        <w:t>Practice</w:t>
      </w:r>
    </w:p>
    <w:p w:rsidR="00331C21" w:rsidRDefault="00B65110">
      <w:pPr>
        <w:pStyle w:val="ListParagraph"/>
        <w:numPr>
          <w:ilvl w:val="2"/>
          <w:numId w:val="2"/>
        </w:numPr>
        <w:tabs>
          <w:tab w:val="left" w:pos="969"/>
          <w:tab w:val="left" w:pos="970"/>
        </w:tabs>
        <w:spacing w:line="268" w:lineRule="exact"/>
        <w:ind w:left="969"/>
      </w:pPr>
      <w:r>
        <w:t>DBS A counter signatory’s guide to completing the DBS application</w:t>
      </w:r>
      <w:r>
        <w:rPr>
          <w:spacing w:val="-4"/>
        </w:rPr>
        <w:t xml:space="preserve"> </w:t>
      </w:r>
      <w:r>
        <w:t>form</w:t>
      </w:r>
    </w:p>
    <w:p w:rsidR="00331C21" w:rsidRDefault="00B65110">
      <w:pPr>
        <w:pStyle w:val="ListParagraph"/>
        <w:numPr>
          <w:ilvl w:val="2"/>
          <w:numId w:val="2"/>
        </w:numPr>
        <w:tabs>
          <w:tab w:val="left" w:pos="969"/>
          <w:tab w:val="left" w:pos="970"/>
        </w:tabs>
        <w:spacing w:line="269" w:lineRule="exact"/>
        <w:ind w:left="969"/>
      </w:pPr>
      <w:r>
        <w:t>An applicant’s guide to completing the DBS application</w:t>
      </w:r>
      <w:r>
        <w:rPr>
          <w:spacing w:val="-3"/>
        </w:rPr>
        <w:t xml:space="preserve"> </w:t>
      </w:r>
      <w:r>
        <w:t>form</w:t>
      </w:r>
    </w:p>
    <w:p w:rsidR="00331C21" w:rsidRDefault="00331C21">
      <w:pPr>
        <w:pStyle w:val="BodyText"/>
        <w:spacing w:before="10"/>
        <w:rPr>
          <w:sz w:val="21"/>
        </w:rPr>
      </w:pPr>
    </w:p>
    <w:p w:rsidR="00331C21" w:rsidRDefault="00B65110">
      <w:pPr>
        <w:pStyle w:val="Heading1"/>
        <w:numPr>
          <w:ilvl w:val="1"/>
          <w:numId w:val="2"/>
        </w:numPr>
        <w:tabs>
          <w:tab w:val="left" w:pos="545"/>
        </w:tabs>
        <w:spacing w:line="252" w:lineRule="exact"/>
        <w:ind w:hanging="427"/>
      </w:pPr>
      <w:r>
        <w:t>Communication</w:t>
      </w:r>
      <w:r>
        <w:rPr>
          <w:spacing w:val="-1"/>
        </w:rPr>
        <w:t xml:space="preserve"> </w:t>
      </w:r>
      <w:r>
        <w:t>Strategy</w:t>
      </w:r>
    </w:p>
    <w:p w:rsidR="00331C21" w:rsidRDefault="00B65110">
      <w:pPr>
        <w:pStyle w:val="BodyText"/>
        <w:spacing w:line="252" w:lineRule="exact"/>
        <w:ind w:left="544"/>
      </w:pPr>
      <w:r>
        <w:t>This policy is available on My Uni Portal /Moodle</w:t>
      </w:r>
    </w:p>
    <w:p w:rsidR="00331C21" w:rsidRDefault="00331C21">
      <w:pPr>
        <w:pStyle w:val="BodyText"/>
        <w:spacing w:before="2"/>
      </w:pPr>
    </w:p>
    <w:p w:rsidR="00331C21" w:rsidRDefault="00B65110">
      <w:pPr>
        <w:pStyle w:val="Heading1"/>
        <w:numPr>
          <w:ilvl w:val="0"/>
          <w:numId w:val="2"/>
        </w:numPr>
        <w:tabs>
          <w:tab w:val="left" w:pos="544"/>
          <w:tab w:val="left" w:pos="545"/>
        </w:tabs>
        <w:ind w:hanging="427"/>
      </w:pPr>
      <w:r>
        <w:t>EVALUATION</w:t>
      </w:r>
    </w:p>
    <w:p w:rsidR="00331C21" w:rsidRDefault="00331C21">
      <w:pPr>
        <w:pStyle w:val="BodyText"/>
        <w:spacing w:before="9"/>
        <w:rPr>
          <w:b/>
          <w:sz w:val="21"/>
        </w:rPr>
      </w:pPr>
    </w:p>
    <w:p w:rsidR="00331C21" w:rsidRDefault="00B65110">
      <w:pPr>
        <w:pStyle w:val="BodyText"/>
        <w:ind w:left="544" w:right="598"/>
        <w:jc w:val="both"/>
      </w:pPr>
      <w:r>
        <w:t>The University is committed to continuous improvement in its service provision, and will continue to monitor the efficiency of this policy with qualitative and quantitative data. This process will ensure that a detailed evaluation of the effectiveness of t</w:t>
      </w:r>
      <w:r>
        <w:t>he policy is undertaken, and any problems of implementation or management brought to the attention of the Human Resources Committee.</w:t>
      </w:r>
    </w:p>
    <w:p w:rsidR="00331C21" w:rsidRDefault="00331C21">
      <w:pPr>
        <w:pStyle w:val="BodyText"/>
      </w:pPr>
    </w:p>
    <w:p w:rsidR="00331C21" w:rsidRDefault="00B65110">
      <w:pPr>
        <w:pStyle w:val="BodyText"/>
        <w:spacing w:before="1"/>
        <w:ind w:left="544"/>
        <w:jc w:val="both"/>
      </w:pPr>
      <w:r>
        <w:t>This policy will also be reviewed in line with requirements from the DBS.</w:t>
      </w:r>
    </w:p>
    <w:sectPr w:rsidR="00331C21">
      <w:pgSz w:w="12240" w:h="15840"/>
      <w:pgMar w:top="1360" w:right="84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51A3"/>
    <w:multiLevelType w:val="hybridMultilevel"/>
    <w:tmpl w:val="38F4592E"/>
    <w:lvl w:ilvl="0" w:tplc="96BAC6E0">
      <w:numFmt w:val="bullet"/>
      <w:lvlText w:val=""/>
      <w:lvlJc w:val="left"/>
      <w:pPr>
        <w:ind w:left="980" w:hanging="436"/>
      </w:pPr>
      <w:rPr>
        <w:rFonts w:ascii="Symbol" w:eastAsia="Symbol" w:hAnsi="Symbol" w:cs="Symbol" w:hint="default"/>
        <w:w w:val="99"/>
        <w:sz w:val="22"/>
        <w:szCs w:val="22"/>
      </w:rPr>
    </w:lvl>
    <w:lvl w:ilvl="1" w:tplc="F12E0584">
      <w:numFmt w:val="bullet"/>
      <w:lvlText w:val="•"/>
      <w:lvlJc w:val="left"/>
      <w:pPr>
        <w:ind w:left="1904" w:hanging="436"/>
      </w:pPr>
      <w:rPr>
        <w:rFonts w:hint="default"/>
      </w:rPr>
    </w:lvl>
    <w:lvl w:ilvl="2" w:tplc="04A80C64">
      <w:numFmt w:val="bullet"/>
      <w:lvlText w:val="•"/>
      <w:lvlJc w:val="left"/>
      <w:pPr>
        <w:ind w:left="2828" w:hanging="436"/>
      </w:pPr>
      <w:rPr>
        <w:rFonts w:hint="default"/>
      </w:rPr>
    </w:lvl>
    <w:lvl w:ilvl="3" w:tplc="AA1CA4A0">
      <w:numFmt w:val="bullet"/>
      <w:lvlText w:val="•"/>
      <w:lvlJc w:val="left"/>
      <w:pPr>
        <w:ind w:left="3752" w:hanging="436"/>
      </w:pPr>
      <w:rPr>
        <w:rFonts w:hint="default"/>
      </w:rPr>
    </w:lvl>
    <w:lvl w:ilvl="4" w:tplc="05C6BBD2">
      <w:numFmt w:val="bullet"/>
      <w:lvlText w:val="•"/>
      <w:lvlJc w:val="left"/>
      <w:pPr>
        <w:ind w:left="4676" w:hanging="436"/>
      </w:pPr>
      <w:rPr>
        <w:rFonts w:hint="default"/>
      </w:rPr>
    </w:lvl>
    <w:lvl w:ilvl="5" w:tplc="EF0AF49E">
      <w:numFmt w:val="bullet"/>
      <w:lvlText w:val="•"/>
      <w:lvlJc w:val="left"/>
      <w:pPr>
        <w:ind w:left="5600" w:hanging="436"/>
      </w:pPr>
      <w:rPr>
        <w:rFonts w:hint="default"/>
      </w:rPr>
    </w:lvl>
    <w:lvl w:ilvl="6" w:tplc="F2CC3318">
      <w:numFmt w:val="bullet"/>
      <w:lvlText w:val="•"/>
      <w:lvlJc w:val="left"/>
      <w:pPr>
        <w:ind w:left="6524" w:hanging="436"/>
      </w:pPr>
      <w:rPr>
        <w:rFonts w:hint="default"/>
      </w:rPr>
    </w:lvl>
    <w:lvl w:ilvl="7" w:tplc="AD9607B8">
      <w:numFmt w:val="bullet"/>
      <w:lvlText w:val="•"/>
      <w:lvlJc w:val="left"/>
      <w:pPr>
        <w:ind w:left="7448" w:hanging="436"/>
      </w:pPr>
      <w:rPr>
        <w:rFonts w:hint="default"/>
      </w:rPr>
    </w:lvl>
    <w:lvl w:ilvl="8" w:tplc="62D86310">
      <w:numFmt w:val="bullet"/>
      <w:lvlText w:val="•"/>
      <w:lvlJc w:val="left"/>
      <w:pPr>
        <w:ind w:left="8372" w:hanging="436"/>
      </w:pPr>
      <w:rPr>
        <w:rFonts w:hint="default"/>
      </w:rPr>
    </w:lvl>
  </w:abstractNum>
  <w:abstractNum w:abstractNumId="1" w15:restartNumberingAfterBreak="0">
    <w:nsid w:val="6E3C4D02"/>
    <w:multiLevelType w:val="multilevel"/>
    <w:tmpl w:val="9EE6886A"/>
    <w:lvl w:ilvl="0">
      <w:start w:val="1"/>
      <w:numFmt w:val="decimal"/>
      <w:lvlText w:val="%1."/>
      <w:lvlJc w:val="left"/>
      <w:pPr>
        <w:ind w:left="544" w:hanging="426"/>
        <w:jc w:val="left"/>
      </w:pPr>
      <w:rPr>
        <w:rFonts w:ascii="Arial" w:eastAsia="Arial" w:hAnsi="Arial" w:cs="Arial" w:hint="default"/>
        <w:b/>
        <w:bCs/>
        <w:w w:val="99"/>
        <w:sz w:val="22"/>
        <w:szCs w:val="22"/>
      </w:rPr>
    </w:lvl>
    <w:lvl w:ilvl="1">
      <w:start w:val="1"/>
      <w:numFmt w:val="decimal"/>
      <w:lvlText w:val="%1.%2"/>
      <w:lvlJc w:val="left"/>
      <w:pPr>
        <w:ind w:left="544" w:hanging="426"/>
        <w:jc w:val="left"/>
      </w:pPr>
      <w:rPr>
        <w:rFonts w:ascii="Arial" w:eastAsia="Arial" w:hAnsi="Arial" w:cs="Arial" w:hint="default"/>
        <w:b/>
        <w:bCs/>
        <w:w w:val="99"/>
        <w:sz w:val="22"/>
        <w:szCs w:val="22"/>
      </w:rPr>
    </w:lvl>
    <w:lvl w:ilvl="2">
      <w:numFmt w:val="bullet"/>
      <w:lvlText w:val=""/>
      <w:lvlJc w:val="left"/>
      <w:pPr>
        <w:ind w:left="980" w:hanging="361"/>
      </w:pPr>
      <w:rPr>
        <w:rFonts w:ascii="Symbol" w:eastAsia="Symbol" w:hAnsi="Symbol" w:cs="Symbol" w:hint="default"/>
        <w:w w:val="99"/>
        <w:sz w:val="22"/>
        <w:szCs w:val="22"/>
      </w:rPr>
    </w:lvl>
    <w:lvl w:ilvl="3">
      <w:numFmt w:val="bullet"/>
      <w:lvlText w:val="•"/>
      <w:lvlJc w:val="left"/>
      <w:pPr>
        <w:ind w:left="980" w:hanging="361"/>
      </w:pPr>
      <w:rPr>
        <w:rFonts w:hint="default"/>
      </w:rPr>
    </w:lvl>
    <w:lvl w:ilvl="4">
      <w:numFmt w:val="bullet"/>
      <w:lvlText w:val="•"/>
      <w:lvlJc w:val="left"/>
      <w:pPr>
        <w:ind w:left="1260" w:hanging="361"/>
      </w:pPr>
      <w:rPr>
        <w:rFonts w:hint="default"/>
      </w:rPr>
    </w:lvl>
    <w:lvl w:ilvl="5">
      <w:numFmt w:val="bullet"/>
      <w:lvlText w:val="•"/>
      <w:lvlJc w:val="left"/>
      <w:pPr>
        <w:ind w:left="2753" w:hanging="361"/>
      </w:pPr>
      <w:rPr>
        <w:rFonts w:hint="default"/>
      </w:rPr>
    </w:lvl>
    <w:lvl w:ilvl="6">
      <w:numFmt w:val="bullet"/>
      <w:lvlText w:val="•"/>
      <w:lvlJc w:val="left"/>
      <w:pPr>
        <w:ind w:left="4246" w:hanging="361"/>
      </w:pPr>
      <w:rPr>
        <w:rFonts w:hint="default"/>
      </w:rPr>
    </w:lvl>
    <w:lvl w:ilvl="7">
      <w:numFmt w:val="bullet"/>
      <w:lvlText w:val="•"/>
      <w:lvlJc w:val="left"/>
      <w:pPr>
        <w:ind w:left="5740" w:hanging="361"/>
      </w:pPr>
      <w:rPr>
        <w:rFonts w:hint="default"/>
      </w:rPr>
    </w:lvl>
    <w:lvl w:ilvl="8">
      <w:numFmt w:val="bullet"/>
      <w:lvlText w:val="•"/>
      <w:lvlJc w:val="left"/>
      <w:pPr>
        <w:ind w:left="7233"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C21"/>
    <w:rsid w:val="00331C21"/>
    <w:rsid w:val="00704350"/>
    <w:rsid w:val="00B65110"/>
    <w:rsid w:val="00FE5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9F0CA2-15BC-452C-B722-35A3D7B9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544" w:hanging="42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44" w:hanging="427"/>
    </w:pPr>
  </w:style>
  <w:style w:type="paragraph" w:customStyle="1" w:styleId="TableParagraph">
    <w:name w:val="Table Paragraph"/>
    <w:basedOn w:val="Normal"/>
    <w:uiPriority w:val="1"/>
    <w:qFormat/>
    <w:pPr>
      <w:ind w:left="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Microsoft Word - FINAL Policy Statement on the Recruitment of Ex-Offenders Students</vt:lpstr>
    </vt:vector>
  </TitlesOfParts>
  <Company>GU</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FINAL Policy Statement on the Recruitment of Ex-Offenders Students</dc:title>
  <dc:creator>cleaverk</dc:creator>
  <cp:lastModifiedBy>Hannah Lea</cp:lastModifiedBy>
  <cp:revision>3</cp:revision>
  <dcterms:created xsi:type="dcterms:W3CDTF">2020-11-30T14:17:00Z</dcterms:created>
  <dcterms:modified xsi:type="dcterms:W3CDTF">2020-11-30T14:18:00Z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2017-02-10T00:00:00Z</vt:filetime>
  </property>
  <property fmtid="{D5CDD505-2E9C-101B-9397-08002B2CF9AE}" pid="3" name="Creator">
    <vt:lpwstr>PScript5.dll Version 5.2.2</vt:lpwstr>
  </property>
  <property fmtid="{D5CDD505-2E9C-101B-9397-08002B2CF9AE}" pid="4" name="LastSaved">
    <vt:filetime>2020-11-30T00:00:00Z</vt:filetime>
  </property>
</Properties>
</file>