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78A9D" w14:textId="77777777" w:rsidR="00C721B2" w:rsidRDefault="00C721B2" w:rsidP="00C721B2">
      <w:pPr>
        <w:jc w:val="right"/>
      </w:pPr>
      <w:r w:rsidRPr="00CB0B87">
        <w:rPr>
          <w:noProof/>
        </w:rPr>
        <w:drawing>
          <wp:inline distT="0" distB="0" distL="0" distR="0" wp14:anchorId="2F1C0B67" wp14:editId="35696867">
            <wp:extent cx="2503220" cy="552450"/>
            <wp:effectExtent l="0" t="0" r="0" b="0"/>
            <wp:docPr id="1272869284" name="Picture 1" descr="A close up of black text - Wrexham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69284" name="Picture 1" descr="A close up of black text - Wrexham University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8412" cy="5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B693D" w14:textId="77777777" w:rsidR="009D0EDD" w:rsidRDefault="009D0EDD" w:rsidP="009D0EDD">
      <w:pPr>
        <w:pStyle w:val="NoSpacing"/>
        <w:jc w:val="right"/>
        <w:rPr>
          <w:rFonts w:ascii="Century Gothic" w:hAnsi="Century Gothic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  <w:tblCaption w:val="Management Control Header"/>
        <w:tblDescription w:val="Provides information of where the Policy came from, who is responsible for it, what committee approved it and the timeframe for the life of the Policy"/>
      </w:tblPr>
      <w:tblGrid>
        <w:gridCol w:w="2431"/>
        <w:gridCol w:w="1959"/>
        <w:gridCol w:w="2445"/>
        <w:gridCol w:w="1524"/>
        <w:gridCol w:w="708"/>
        <w:gridCol w:w="54"/>
      </w:tblGrid>
      <w:tr w:rsidR="009D0EDD" w:rsidRPr="00BA47F8" w14:paraId="6CA3B122" w14:textId="77777777" w:rsidTr="009409BB">
        <w:trPr>
          <w:trHeight w:val="377"/>
          <w:tblHeader/>
        </w:trPr>
        <w:tc>
          <w:tcPr>
            <w:tcW w:w="9121" w:type="dxa"/>
            <w:gridSpan w:val="6"/>
          </w:tcPr>
          <w:p w14:paraId="14B130A4" w14:textId="77777777" w:rsidR="009D0EDD" w:rsidRPr="00BA47F8" w:rsidRDefault="009D0EDD" w:rsidP="009409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MANAGEMENT CONTROL HEADER</w:t>
            </w:r>
          </w:p>
        </w:tc>
      </w:tr>
      <w:tr w:rsidR="009D0EDD" w:rsidRPr="00BA47F8" w14:paraId="6062DEB9" w14:textId="77777777" w:rsidTr="003F15C1">
        <w:trPr>
          <w:trHeight w:val="474"/>
        </w:trPr>
        <w:tc>
          <w:tcPr>
            <w:tcW w:w="2431" w:type="dxa"/>
          </w:tcPr>
          <w:p w14:paraId="5ECF4FF9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6690" w:type="dxa"/>
            <w:gridSpan w:val="5"/>
          </w:tcPr>
          <w:p w14:paraId="523BEF94" w14:textId="5AB18BB0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hAnsi="Arial" w:cs="Arial"/>
                <w:sz w:val="24"/>
                <w:szCs w:val="24"/>
              </w:rPr>
              <w:t>Estates</w:t>
            </w:r>
            <w:r w:rsidR="00C721B2">
              <w:rPr>
                <w:rFonts w:ascii="Arial" w:hAnsi="Arial" w:cs="Arial"/>
                <w:sz w:val="24"/>
                <w:szCs w:val="24"/>
              </w:rPr>
              <w:t xml:space="preserve"> &amp; Campus Management</w:t>
            </w:r>
          </w:p>
        </w:tc>
      </w:tr>
      <w:tr w:rsidR="009D0EDD" w:rsidRPr="00BA47F8" w14:paraId="1A0AD3C8" w14:textId="77777777" w:rsidTr="003F15C1">
        <w:trPr>
          <w:trHeight w:val="474"/>
        </w:trPr>
        <w:tc>
          <w:tcPr>
            <w:tcW w:w="2431" w:type="dxa"/>
          </w:tcPr>
          <w:p w14:paraId="4C0756DE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6690" w:type="dxa"/>
            <w:gridSpan w:val="5"/>
          </w:tcPr>
          <w:p w14:paraId="509C5F8F" w14:textId="1A4D97DC" w:rsidR="009D0EDD" w:rsidRPr="00BA47F8" w:rsidRDefault="00277F0A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 Francis</w:t>
            </w:r>
          </w:p>
        </w:tc>
      </w:tr>
      <w:tr w:rsidR="009D0EDD" w:rsidRPr="00BA47F8" w14:paraId="6F1499E0" w14:textId="77777777" w:rsidTr="003F15C1">
        <w:trPr>
          <w:trHeight w:val="448"/>
        </w:trPr>
        <w:tc>
          <w:tcPr>
            <w:tcW w:w="2431" w:type="dxa"/>
          </w:tcPr>
          <w:p w14:paraId="2C6B6989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Authorised By:</w:t>
            </w:r>
          </w:p>
        </w:tc>
        <w:tc>
          <w:tcPr>
            <w:tcW w:w="6690" w:type="dxa"/>
            <w:gridSpan w:val="5"/>
          </w:tcPr>
          <w:p w14:paraId="2FBC8A5B" w14:textId="4FF6A71C" w:rsidR="009D0EDD" w:rsidRPr="00BA47F8" w:rsidRDefault="0080449F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</w:t>
            </w:r>
          </w:p>
        </w:tc>
      </w:tr>
      <w:tr w:rsidR="009D0EDD" w:rsidRPr="00BA47F8" w14:paraId="0053E862" w14:textId="77777777" w:rsidTr="003F15C1">
        <w:trPr>
          <w:trHeight w:val="474"/>
        </w:trPr>
        <w:tc>
          <w:tcPr>
            <w:tcW w:w="2431" w:type="dxa"/>
          </w:tcPr>
          <w:p w14:paraId="046017E5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Implemented By:</w:t>
            </w:r>
          </w:p>
        </w:tc>
        <w:tc>
          <w:tcPr>
            <w:tcW w:w="6690" w:type="dxa"/>
            <w:gridSpan w:val="5"/>
          </w:tcPr>
          <w:p w14:paraId="758166DB" w14:textId="31E3B6F0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hAnsi="Arial" w:cs="Arial"/>
                <w:sz w:val="24"/>
                <w:szCs w:val="24"/>
              </w:rPr>
              <w:t>Estates</w:t>
            </w:r>
            <w:r w:rsidR="002C31F3">
              <w:rPr>
                <w:rFonts w:ascii="Arial" w:hAnsi="Arial" w:cs="Arial"/>
                <w:sz w:val="24"/>
                <w:szCs w:val="24"/>
              </w:rPr>
              <w:t xml:space="preserve"> and Campus Services</w:t>
            </w:r>
          </w:p>
        </w:tc>
      </w:tr>
      <w:tr w:rsidR="009D0EDD" w:rsidRPr="00BA47F8" w14:paraId="482EDBE5" w14:textId="77777777" w:rsidTr="003F15C1">
        <w:trPr>
          <w:trHeight w:val="474"/>
        </w:trPr>
        <w:tc>
          <w:tcPr>
            <w:tcW w:w="2431" w:type="dxa"/>
          </w:tcPr>
          <w:p w14:paraId="2E069ECA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Policy Reference:</w:t>
            </w:r>
          </w:p>
        </w:tc>
        <w:tc>
          <w:tcPr>
            <w:tcW w:w="6690" w:type="dxa"/>
            <w:gridSpan w:val="5"/>
          </w:tcPr>
          <w:p w14:paraId="4F068526" w14:textId="0F85DFB0" w:rsidR="009D0EDD" w:rsidRPr="00BA47F8" w:rsidRDefault="00962B98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POOPS</w:t>
            </w:r>
            <w:r w:rsidR="007F137E">
              <w:rPr>
                <w:rFonts w:ascii="Arial" w:hAnsi="Arial" w:cs="Arial"/>
                <w:sz w:val="24"/>
                <w:szCs w:val="24"/>
              </w:rPr>
              <w:t>2324014</w:t>
            </w:r>
          </w:p>
        </w:tc>
      </w:tr>
      <w:tr w:rsidR="009D0EDD" w:rsidRPr="00BA47F8" w14:paraId="527C50CB" w14:textId="77777777" w:rsidTr="003F15C1">
        <w:trPr>
          <w:trHeight w:val="448"/>
        </w:trPr>
        <w:tc>
          <w:tcPr>
            <w:tcW w:w="2431" w:type="dxa"/>
          </w:tcPr>
          <w:p w14:paraId="48B6B8E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Policies Replaced:</w:t>
            </w:r>
          </w:p>
        </w:tc>
        <w:tc>
          <w:tcPr>
            <w:tcW w:w="6690" w:type="dxa"/>
            <w:gridSpan w:val="5"/>
          </w:tcPr>
          <w:p w14:paraId="24E07885" w14:textId="24C2CEA0" w:rsidR="009D0EDD" w:rsidRPr="00BA47F8" w:rsidRDefault="00962B98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POOPS2021006</w:t>
            </w:r>
          </w:p>
        </w:tc>
      </w:tr>
      <w:tr w:rsidR="009D0EDD" w:rsidRPr="00BA47F8" w14:paraId="1A6AC638" w14:textId="77777777" w:rsidTr="003F15C1">
        <w:trPr>
          <w:trHeight w:val="474"/>
        </w:trPr>
        <w:tc>
          <w:tcPr>
            <w:tcW w:w="2431" w:type="dxa"/>
          </w:tcPr>
          <w:p w14:paraId="06346AB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Version No:</w:t>
            </w:r>
          </w:p>
        </w:tc>
        <w:tc>
          <w:tcPr>
            <w:tcW w:w="1959" w:type="dxa"/>
          </w:tcPr>
          <w:p w14:paraId="23EEC8B2" w14:textId="7E8EC5BB" w:rsidR="009D0EDD" w:rsidRPr="00BA47F8" w:rsidRDefault="00C721B2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14:paraId="1A9622D1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Approved Committee:</w:t>
            </w:r>
          </w:p>
        </w:tc>
        <w:tc>
          <w:tcPr>
            <w:tcW w:w="2286" w:type="dxa"/>
            <w:gridSpan w:val="3"/>
          </w:tcPr>
          <w:p w14:paraId="1CFD0440" w14:textId="20EC6ED2" w:rsidR="009D0EDD" w:rsidRDefault="000F2549" w:rsidP="000F254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B5D4A">
              <w:rPr>
                <w:rFonts w:ascii="Arial" w:hAnsi="Arial" w:cs="Arial"/>
                <w:sz w:val="24"/>
                <w:szCs w:val="24"/>
              </w:rPr>
              <w:t>HE</w:t>
            </w:r>
          </w:p>
          <w:p w14:paraId="0CC270B7" w14:textId="53DB39FF" w:rsidR="000F2549" w:rsidRPr="00BA47F8" w:rsidRDefault="00DE1985" w:rsidP="000F254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B5D4A">
              <w:rPr>
                <w:rFonts w:ascii="Arial" w:hAnsi="Arial" w:cs="Arial"/>
                <w:sz w:val="24"/>
                <w:szCs w:val="24"/>
              </w:rPr>
              <w:t>LT</w:t>
            </w:r>
          </w:p>
        </w:tc>
      </w:tr>
      <w:tr w:rsidR="009D0EDD" w:rsidRPr="00BA47F8" w14:paraId="0C8E6CFD" w14:textId="77777777" w:rsidTr="003F15C1">
        <w:trPr>
          <w:trHeight w:val="474"/>
        </w:trPr>
        <w:tc>
          <w:tcPr>
            <w:tcW w:w="2431" w:type="dxa"/>
          </w:tcPr>
          <w:p w14:paraId="0D430C7E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Date Approved:</w:t>
            </w:r>
          </w:p>
        </w:tc>
        <w:tc>
          <w:tcPr>
            <w:tcW w:w="1959" w:type="dxa"/>
          </w:tcPr>
          <w:p w14:paraId="47A571FA" w14:textId="77777777" w:rsidR="009D0EDD" w:rsidRDefault="007C3A67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March</w:t>
            </w:r>
            <w:r w:rsidR="000F2549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  <w:p w14:paraId="6042EF73" w14:textId="4B2DBE08" w:rsidR="00FB5D4A" w:rsidRPr="00BA47F8" w:rsidRDefault="00FB5D4A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April 2024</w:t>
            </w:r>
          </w:p>
        </w:tc>
        <w:tc>
          <w:tcPr>
            <w:tcW w:w="2445" w:type="dxa"/>
          </w:tcPr>
          <w:p w14:paraId="02E8F90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Minute no:</w:t>
            </w:r>
          </w:p>
        </w:tc>
        <w:tc>
          <w:tcPr>
            <w:tcW w:w="2286" w:type="dxa"/>
            <w:gridSpan w:val="3"/>
          </w:tcPr>
          <w:p w14:paraId="13169CBE" w14:textId="77777777" w:rsidR="009D0EDD" w:rsidRDefault="009A5154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23.45.01</w:t>
            </w:r>
          </w:p>
          <w:p w14:paraId="3EA64AC0" w14:textId="1CF481E9" w:rsidR="00FB5D4A" w:rsidRPr="00BA47F8" w:rsidRDefault="00FB5D4A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23.59.02</w:t>
            </w:r>
          </w:p>
        </w:tc>
      </w:tr>
      <w:tr w:rsidR="009D0EDD" w:rsidRPr="00BA47F8" w14:paraId="3D1F38CF" w14:textId="77777777" w:rsidTr="003F15C1">
        <w:trPr>
          <w:trHeight w:val="448"/>
        </w:trPr>
        <w:tc>
          <w:tcPr>
            <w:tcW w:w="2431" w:type="dxa"/>
          </w:tcPr>
          <w:p w14:paraId="4EF7EA1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Status:</w:t>
            </w:r>
          </w:p>
        </w:tc>
        <w:tc>
          <w:tcPr>
            <w:tcW w:w="1959" w:type="dxa"/>
          </w:tcPr>
          <w:p w14:paraId="17DC7FCD" w14:textId="65EACB62" w:rsidR="009D0EDD" w:rsidRPr="00BA47F8" w:rsidRDefault="00FB5D4A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  <w:tc>
          <w:tcPr>
            <w:tcW w:w="2445" w:type="dxa"/>
          </w:tcPr>
          <w:p w14:paraId="011F903A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Implementation Date:</w:t>
            </w:r>
          </w:p>
        </w:tc>
        <w:tc>
          <w:tcPr>
            <w:tcW w:w="2286" w:type="dxa"/>
            <w:gridSpan w:val="3"/>
          </w:tcPr>
          <w:p w14:paraId="32ECAFC0" w14:textId="18D810B2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</w:t>
            </w:r>
            <w:r w:rsidR="00277F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0EDD" w:rsidRPr="00BA47F8" w14:paraId="4A45AB46" w14:textId="77777777" w:rsidTr="003F15C1">
        <w:trPr>
          <w:trHeight w:val="474"/>
        </w:trPr>
        <w:tc>
          <w:tcPr>
            <w:tcW w:w="2431" w:type="dxa"/>
          </w:tcPr>
          <w:p w14:paraId="71D33D4B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Period of Approval:</w:t>
            </w:r>
          </w:p>
        </w:tc>
        <w:tc>
          <w:tcPr>
            <w:tcW w:w="1959" w:type="dxa"/>
          </w:tcPr>
          <w:p w14:paraId="4FE3518B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445" w:type="dxa"/>
          </w:tcPr>
          <w:p w14:paraId="5EBC1F88" w14:textId="77777777" w:rsidR="009D0EDD" w:rsidRPr="00BA47F8" w:rsidRDefault="009D0EDD" w:rsidP="009409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2286" w:type="dxa"/>
            <w:gridSpan w:val="3"/>
          </w:tcPr>
          <w:p w14:paraId="72127CAB" w14:textId="474B18C8" w:rsidR="009D0EDD" w:rsidRPr="00BA47F8" w:rsidRDefault="009D0EDD" w:rsidP="00940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</w:t>
            </w:r>
            <w:r w:rsidR="00277F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D0EDD" w:rsidRPr="00BA47F8" w14:paraId="64AD7845" w14:textId="77777777" w:rsidTr="003F15C1">
        <w:tblPrEx>
          <w:tblLook w:val="01E0" w:firstRow="1" w:lastRow="1" w:firstColumn="1" w:lastColumn="1" w:noHBand="0" w:noVBand="0"/>
        </w:tblPrEx>
        <w:trPr>
          <w:gridAfter w:val="1"/>
          <w:wAfter w:w="54" w:type="dxa"/>
          <w:trHeight w:val="505"/>
        </w:trPr>
        <w:tc>
          <w:tcPr>
            <w:tcW w:w="8359" w:type="dxa"/>
            <w:gridSpan w:val="4"/>
          </w:tcPr>
          <w:p w14:paraId="6DC87FB5" w14:textId="77777777" w:rsidR="009D0EDD" w:rsidRPr="00BA47F8" w:rsidRDefault="009D0EDD" w:rsidP="009409BB">
            <w:pPr>
              <w:pStyle w:val="TableParagraph"/>
              <w:ind w:left="97"/>
              <w:rPr>
                <w:sz w:val="24"/>
                <w:szCs w:val="24"/>
              </w:rPr>
            </w:pPr>
            <w:r w:rsidRPr="00BA47F8">
              <w:rPr>
                <w:sz w:val="24"/>
                <w:szCs w:val="24"/>
              </w:rPr>
              <w:t>I have carried out an equality impact assessment screening to help safeguard against discrimination and promote equality.</w:t>
            </w:r>
          </w:p>
        </w:tc>
        <w:tc>
          <w:tcPr>
            <w:tcW w:w="708" w:type="dxa"/>
          </w:tcPr>
          <w:p w14:paraId="3FD83672" w14:textId="77777777" w:rsidR="009D0EDD" w:rsidRPr="00BA47F8" w:rsidRDefault="009D0EDD" w:rsidP="009409BB">
            <w:pPr>
              <w:pStyle w:val="TableParagraph"/>
              <w:ind w:left="96"/>
              <w:rPr>
                <w:sz w:val="24"/>
                <w:szCs w:val="24"/>
              </w:rPr>
            </w:pPr>
            <w:r w:rsidRPr="00BA47F8">
              <w:rPr>
                <w:sz w:val="24"/>
                <w:szCs w:val="24"/>
              </w:rPr>
              <w:t></w:t>
            </w: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9D0EDD" w:rsidRPr="00BA47F8" w14:paraId="46911851" w14:textId="77777777" w:rsidTr="003F15C1">
        <w:tblPrEx>
          <w:tblLook w:val="01E0" w:firstRow="1" w:lastRow="1" w:firstColumn="1" w:lastColumn="1" w:noHBand="0" w:noVBand="0"/>
        </w:tblPrEx>
        <w:trPr>
          <w:gridAfter w:val="1"/>
          <w:wAfter w:w="54" w:type="dxa"/>
          <w:trHeight w:val="504"/>
        </w:trPr>
        <w:tc>
          <w:tcPr>
            <w:tcW w:w="8359" w:type="dxa"/>
            <w:gridSpan w:val="4"/>
          </w:tcPr>
          <w:p w14:paraId="0EDCA087" w14:textId="4D3374EC" w:rsidR="009D0EDD" w:rsidRPr="00BA47F8" w:rsidRDefault="009D0EDD" w:rsidP="009409BB">
            <w:pPr>
              <w:pStyle w:val="TableParagraph"/>
              <w:ind w:left="97"/>
              <w:rPr>
                <w:sz w:val="24"/>
                <w:szCs w:val="24"/>
              </w:rPr>
            </w:pPr>
            <w:r w:rsidRPr="00BA47F8">
              <w:rPr>
                <w:sz w:val="24"/>
                <w:szCs w:val="24"/>
              </w:rPr>
              <w:t xml:space="preserve">I have considered the impact of the Policy/Strategy/Procedure </w:t>
            </w:r>
            <w:r w:rsidRPr="00BA47F8">
              <w:rPr>
                <w:i/>
                <w:sz w:val="24"/>
                <w:szCs w:val="24"/>
              </w:rPr>
              <w:t>(delete as appropriate)</w:t>
            </w:r>
            <w:r w:rsidR="00E35AC7">
              <w:rPr>
                <w:i/>
                <w:sz w:val="24"/>
                <w:szCs w:val="24"/>
              </w:rPr>
              <w:t xml:space="preserve"> </w:t>
            </w:r>
            <w:r w:rsidRPr="00BA47F8">
              <w:rPr>
                <w:sz w:val="24"/>
                <w:szCs w:val="24"/>
              </w:rPr>
              <w:t>on the Welsh language and Welsh language provision within the University.</w:t>
            </w:r>
          </w:p>
        </w:tc>
        <w:tc>
          <w:tcPr>
            <w:tcW w:w="708" w:type="dxa"/>
          </w:tcPr>
          <w:p w14:paraId="41070D2C" w14:textId="77777777" w:rsidR="009D0EDD" w:rsidRPr="00BA47F8" w:rsidRDefault="009D0EDD" w:rsidP="009409BB">
            <w:pPr>
              <w:pStyle w:val="TableParagraph"/>
              <w:ind w:left="96"/>
              <w:rPr>
                <w:sz w:val="24"/>
                <w:szCs w:val="24"/>
              </w:rPr>
            </w:pPr>
            <w:r w:rsidRPr="00BA47F8">
              <w:rPr>
                <w:sz w:val="24"/>
                <w:szCs w:val="24"/>
              </w:rPr>
              <w:t></w:t>
            </w: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4BC35DD1" w14:textId="77777777" w:rsidR="009D0EDD" w:rsidRPr="00DE7418" w:rsidRDefault="009D0EDD" w:rsidP="703BFD94">
      <w:pPr>
        <w:pStyle w:val="NoSpacing"/>
        <w:rPr>
          <w:rFonts w:ascii="Arial" w:eastAsia="Arial" w:hAnsi="Arial" w:cs="Arial"/>
          <w:b/>
          <w:sz w:val="24"/>
          <w:szCs w:val="24"/>
        </w:rPr>
      </w:pPr>
    </w:p>
    <w:p w14:paraId="7B11EEED" w14:textId="4F58B79E" w:rsidR="0029117F" w:rsidRPr="0029117F" w:rsidRDefault="0029117F" w:rsidP="00BB43CE">
      <w:pPr>
        <w:pStyle w:val="Title"/>
        <w:rPr>
          <w:rFonts w:eastAsia="Arial"/>
          <w:b w:val="0"/>
        </w:rPr>
      </w:pPr>
      <w:r w:rsidRPr="703BFD94">
        <w:rPr>
          <w:rFonts w:eastAsia="Arial"/>
        </w:rPr>
        <w:t>Wrexham University’s Fairtrade Policy</w:t>
      </w:r>
    </w:p>
    <w:p w14:paraId="672A6659" w14:textId="77777777" w:rsidR="0029117F" w:rsidRDefault="0029117F" w:rsidP="00BB43CE">
      <w:pPr>
        <w:pStyle w:val="NoSpacing"/>
        <w:rPr>
          <w:rFonts w:ascii="Arial" w:eastAsia="Arial" w:hAnsi="Arial" w:cs="Arial"/>
        </w:rPr>
      </w:pPr>
    </w:p>
    <w:p w14:paraId="0A37501D" w14:textId="1EF1F06F" w:rsidR="0029117F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  <w:r w:rsidRPr="009D0EDD">
        <w:rPr>
          <w:rFonts w:ascii="Arial" w:eastAsia="Arial" w:hAnsi="Arial" w:cs="Arial"/>
          <w:sz w:val="24"/>
          <w:szCs w:val="24"/>
        </w:rPr>
        <w:t>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Pr="009D0EDD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niversity</w:t>
      </w:r>
      <w:r w:rsidRPr="009D0EDD">
        <w:rPr>
          <w:rFonts w:ascii="Arial" w:eastAsia="Arial" w:hAnsi="Arial" w:cs="Arial"/>
          <w:sz w:val="24"/>
          <w:szCs w:val="24"/>
        </w:rPr>
        <w:t xml:space="preserve"> is striving to become a more sustainable University. In line with our </w:t>
      </w:r>
      <w:r w:rsidRPr="009D0ED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Sustainability </w:t>
      </w:r>
      <w:r w:rsidR="00BB43C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Strategy </w:t>
      </w:r>
      <w:r w:rsidRPr="009D0EDD">
        <w:rPr>
          <w:rFonts w:ascii="Arial" w:eastAsia="Arial" w:hAnsi="Arial" w:cs="Arial"/>
          <w:sz w:val="24"/>
          <w:szCs w:val="24"/>
        </w:rPr>
        <w:t>and as part of our commitment to sustainable procurement, 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Pr="009D0EDD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niversity</w:t>
      </w:r>
      <w:r w:rsidRPr="009D0EDD">
        <w:rPr>
          <w:rFonts w:ascii="Arial" w:eastAsia="Arial" w:hAnsi="Arial" w:cs="Arial"/>
          <w:sz w:val="24"/>
          <w:szCs w:val="24"/>
        </w:rPr>
        <w:t xml:space="preserve"> aims to follow the principals of the Fairtrade Foundation by meeting </w:t>
      </w:r>
      <w:r w:rsidR="00280BFB">
        <w:rPr>
          <w:rFonts w:ascii="Arial" w:eastAsia="Arial" w:hAnsi="Arial" w:cs="Arial"/>
          <w:sz w:val="24"/>
          <w:szCs w:val="24"/>
        </w:rPr>
        <w:t>7</w:t>
      </w:r>
      <w:r w:rsidR="009D0EDD">
        <w:rPr>
          <w:rFonts w:ascii="Arial" w:eastAsia="Arial" w:hAnsi="Arial" w:cs="Arial"/>
          <w:sz w:val="24"/>
          <w:szCs w:val="24"/>
        </w:rPr>
        <w:t xml:space="preserve"> key objectives.</w:t>
      </w:r>
    </w:p>
    <w:p w14:paraId="602EC99C" w14:textId="77777777" w:rsidR="00BB43CE" w:rsidRPr="009D0EDD" w:rsidRDefault="00BB43CE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A689E9F" w14:textId="4E3948E8" w:rsidR="0029117F" w:rsidRPr="009D0EDD" w:rsidRDefault="008771F4" w:rsidP="00BB43CE">
      <w:pPr>
        <w:pStyle w:val="Heading1"/>
        <w:spacing w:before="0"/>
        <w:rPr>
          <w:rFonts w:eastAsia="Arial"/>
        </w:rPr>
      </w:pPr>
      <w:r w:rsidRPr="009D0EDD">
        <w:rPr>
          <w:rFonts w:eastAsia="Arial"/>
        </w:rPr>
        <w:t>OBJECTIVES</w:t>
      </w:r>
      <w:r w:rsidR="009D0EDD">
        <w:rPr>
          <w:rFonts w:eastAsia="Arial"/>
        </w:rPr>
        <w:t>:</w:t>
      </w:r>
    </w:p>
    <w:p w14:paraId="5DAB6C7B" w14:textId="77777777" w:rsidR="0029117F" w:rsidRPr="009D0EDD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7EED63DB" w14:textId="46449018" w:rsidR="0029117F" w:rsidRPr="00A27ADA" w:rsidRDefault="009D0EDD" w:rsidP="00BB43CE">
      <w:pPr>
        <w:pStyle w:val="Heading2"/>
        <w:spacing w:before="0"/>
      </w:pPr>
      <w:r w:rsidRPr="00A27ADA">
        <w:t>1. Steering Group</w:t>
      </w:r>
    </w:p>
    <w:p w14:paraId="02EB378F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A05A809" w14:textId="03F9AF90" w:rsidR="00DA3885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  <w:r w:rsidRPr="00A27ADA">
        <w:rPr>
          <w:rFonts w:ascii="Arial" w:eastAsia="Arial" w:hAnsi="Arial" w:cs="Arial"/>
          <w:sz w:val="24"/>
          <w:szCs w:val="24"/>
        </w:rPr>
        <w:t xml:space="preserve">The Fairtrade Steering group </w:t>
      </w:r>
      <w:r w:rsidR="00C63372" w:rsidRPr="00A27ADA">
        <w:rPr>
          <w:rFonts w:ascii="Arial" w:eastAsia="Arial" w:hAnsi="Arial" w:cs="Arial"/>
          <w:sz w:val="24"/>
          <w:szCs w:val="24"/>
        </w:rPr>
        <w:t>represented by staff,</w:t>
      </w:r>
      <w:r w:rsidRPr="00A27ADA">
        <w:rPr>
          <w:rFonts w:ascii="Arial" w:eastAsia="Arial" w:hAnsi="Arial" w:cs="Arial"/>
          <w:sz w:val="24"/>
          <w:szCs w:val="24"/>
        </w:rPr>
        <w:t xml:space="preserve"> </w:t>
      </w:r>
      <w:r w:rsidR="00C63372" w:rsidRPr="00A27ADA">
        <w:rPr>
          <w:rFonts w:ascii="Arial" w:eastAsia="Arial" w:hAnsi="Arial" w:cs="Arial"/>
          <w:sz w:val="24"/>
          <w:szCs w:val="24"/>
        </w:rPr>
        <w:t>s</w:t>
      </w:r>
      <w:r w:rsidRPr="00A27ADA">
        <w:rPr>
          <w:rFonts w:ascii="Arial" w:eastAsia="Arial" w:hAnsi="Arial" w:cs="Arial"/>
          <w:sz w:val="24"/>
          <w:szCs w:val="24"/>
        </w:rPr>
        <w:t>tudents</w:t>
      </w:r>
      <w:r w:rsidR="00C63372" w:rsidRPr="00A27ADA">
        <w:rPr>
          <w:rFonts w:ascii="Arial" w:eastAsia="Arial" w:hAnsi="Arial" w:cs="Arial"/>
          <w:sz w:val="24"/>
          <w:szCs w:val="24"/>
        </w:rPr>
        <w:t xml:space="preserve"> and our catering company</w:t>
      </w:r>
      <w:r w:rsidRPr="00A27ADA">
        <w:rPr>
          <w:rFonts w:ascii="Arial" w:eastAsia="Arial" w:hAnsi="Arial" w:cs="Arial"/>
          <w:sz w:val="24"/>
          <w:szCs w:val="24"/>
        </w:rPr>
        <w:t xml:space="preserve"> will meet annually to discuss and stimulate action for Fairtrade across the University. The group will be responsible </w:t>
      </w:r>
      <w:r w:rsidR="00DA3885" w:rsidRPr="00A27ADA">
        <w:rPr>
          <w:rFonts w:ascii="Arial" w:eastAsia="Arial" w:hAnsi="Arial" w:cs="Arial"/>
          <w:sz w:val="24"/>
          <w:szCs w:val="24"/>
        </w:rPr>
        <w:t>for the activities related to Fairtrade and</w:t>
      </w:r>
      <w:r w:rsidRPr="00A27ADA">
        <w:rPr>
          <w:rFonts w:ascii="Arial" w:eastAsia="Arial" w:hAnsi="Arial" w:cs="Arial"/>
          <w:sz w:val="24"/>
          <w:szCs w:val="24"/>
        </w:rPr>
        <w:t xml:space="preserve"> promoting 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Pr="00A27ADA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niversity</w:t>
      </w:r>
      <w:r w:rsidRPr="00A27ADA">
        <w:rPr>
          <w:rFonts w:ascii="Arial" w:eastAsia="Arial" w:hAnsi="Arial" w:cs="Arial"/>
          <w:sz w:val="24"/>
          <w:szCs w:val="24"/>
        </w:rPr>
        <w:t>’s support for Fair</w:t>
      </w:r>
      <w:r w:rsidR="00DA3885" w:rsidRPr="00A27ADA">
        <w:rPr>
          <w:rFonts w:ascii="Arial" w:eastAsia="Arial" w:hAnsi="Arial" w:cs="Arial"/>
          <w:sz w:val="24"/>
          <w:szCs w:val="24"/>
        </w:rPr>
        <w:t xml:space="preserve">trade and the Fairtrade Policy. </w:t>
      </w:r>
    </w:p>
    <w:p w14:paraId="4EBB5FEA" w14:textId="77777777" w:rsidR="00BB43CE" w:rsidRPr="00A27ADA" w:rsidRDefault="00BB43CE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923DD63" w14:textId="77777777" w:rsidR="00DE7418" w:rsidRDefault="00DE7418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5A39BBE3" w14:textId="6177B9E8" w:rsidR="0029117F" w:rsidRDefault="0029117F" w:rsidP="00BB43CE">
      <w:pPr>
        <w:pStyle w:val="Heading2"/>
        <w:spacing w:before="0"/>
      </w:pPr>
      <w:r w:rsidRPr="00A27ADA">
        <w:lastRenderedPageBreak/>
        <w:t>2.</w:t>
      </w:r>
      <w:r w:rsidR="009D0EDD" w:rsidRPr="00A27ADA">
        <w:t xml:space="preserve"> </w:t>
      </w:r>
      <w:r w:rsidR="00280BFB" w:rsidRPr="00A27ADA">
        <w:t xml:space="preserve">Expand the </w:t>
      </w:r>
      <w:r w:rsidR="009D0EDD" w:rsidRPr="00A27ADA">
        <w:t>Sale of Fairtrade products</w:t>
      </w:r>
    </w:p>
    <w:p w14:paraId="55629D62" w14:textId="77777777" w:rsidR="00BB43CE" w:rsidRPr="00BB43CE" w:rsidRDefault="00BB43CE" w:rsidP="00BB43CE">
      <w:pPr>
        <w:spacing w:after="0"/>
      </w:pPr>
    </w:p>
    <w:p w14:paraId="05A3E0E4" w14:textId="5BEB9BCC" w:rsidR="00280BFB" w:rsidRDefault="00280BFB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</w:pPr>
      <w:r w:rsidRPr="00A27ADA">
        <w:rPr>
          <w:rFonts w:ascii="Arial" w:hAnsi="Arial" w:cs="Arial"/>
        </w:rPr>
        <w:t xml:space="preserve">Continuously expand the range of Fairtrade </w:t>
      </w:r>
      <w:r w:rsidRPr="00A27ADA">
        <w:rPr>
          <w:rFonts w:ascii="Arial" w:eastAsia="Arial" w:hAnsi="Arial" w:cs="Arial"/>
        </w:rPr>
        <w:t xml:space="preserve">products as is feasible in all </w:t>
      </w:r>
      <w:r w:rsidR="00BB43CE">
        <w:rPr>
          <w:rFonts w:ascii="Arial" w:eastAsia="Arial" w:hAnsi="Arial" w:cs="Arial"/>
        </w:rPr>
        <w:t>U</w:t>
      </w:r>
      <w:r w:rsidR="00A27ADA">
        <w:rPr>
          <w:rFonts w:ascii="Arial" w:eastAsia="Arial" w:hAnsi="Arial" w:cs="Arial"/>
        </w:rPr>
        <w:t xml:space="preserve">niversity </w:t>
      </w:r>
      <w:r w:rsidRPr="00A27ADA">
        <w:rPr>
          <w:rFonts w:ascii="Arial" w:eastAsia="Arial" w:hAnsi="Arial" w:cs="Arial"/>
        </w:rPr>
        <w:t>outlets. Where it is not currently feasible to sell Fairtrade (for reasons of price, product availability or contractual obligations), W</w:t>
      </w:r>
      <w:r w:rsidR="00BB43CE">
        <w:rPr>
          <w:rFonts w:ascii="Arial" w:eastAsia="Arial" w:hAnsi="Arial" w:cs="Arial"/>
        </w:rPr>
        <w:t xml:space="preserve">rexham </w:t>
      </w:r>
      <w:r w:rsidRPr="00A27ADA">
        <w:rPr>
          <w:rFonts w:ascii="Arial" w:eastAsia="Arial" w:hAnsi="Arial" w:cs="Arial"/>
        </w:rPr>
        <w:t>U</w:t>
      </w:r>
      <w:r w:rsidR="00BB43CE">
        <w:rPr>
          <w:rFonts w:ascii="Arial" w:eastAsia="Arial" w:hAnsi="Arial" w:cs="Arial"/>
        </w:rPr>
        <w:t>niversity</w:t>
      </w:r>
      <w:r w:rsidRPr="00A27ADA">
        <w:rPr>
          <w:rFonts w:ascii="Arial" w:eastAsia="Arial" w:hAnsi="Arial" w:cs="Arial"/>
        </w:rPr>
        <w:t xml:space="preserve"> is committed to offering them at a time when these issues are no longer a barrier. </w:t>
      </w:r>
      <w:r w:rsidR="00BB43CE">
        <w:rPr>
          <w:rFonts w:ascii="Arial" w:eastAsia="Arial" w:hAnsi="Arial" w:cs="Arial"/>
        </w:rPr>
        <w:t xml:space="preserve"> </w:t>
      </w:r>
    </w:p>
    <w:p w14:paraId="2EEB8673" w14:textId="77777777" w:rsidR="00BB43CE" w:rsidRPr="00A27ADA" w:rsidRDefault="00BB43CE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5EC45B0" w14:textId="344F9F94" w:rsidR="0029117F" w:rsidRPr="00A27ADA" w:rsidRDefault="00C63372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  <w:r w:rsidRPr="00A27ADA">
        <w:rPr>
          <w:rFonts w:ascii="Arial" w:eastAsia="Arial" w:hAnsi="Arial" w:cs="Arial"/>
          <w:sz w:val="24"/>
          <w:szCs w:val="24"/>
        </w:rPr>
        <w:t>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Pr="00A27ADA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 xml:space="preserve">niversity </w:t>
      </w:r>
      <w:r w:rsidRPr="00A27ADA">
        <w:rPr>
          <w:rFonts w:ascii="Arial" w:eastAsia="Arial" w:hAnsi="Arial" w:cs="Arial"/>
          <w:sz w:val="24"/>
          <w:szCs w:val="24"/>
        </w:rPr>
        <w:t>will investigate and promote non food and beverage items and introduce these items wherever possible.</w:t>
      </w:r>
    </w:p>
    <w:p w14:paraId="41C8F396" w14:textId="77777777" w:rsidR="009E6841" w:rsidRPr="00A27ADA" w:rsidRDefault="009E6841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D0B940D" w14:textId="2FEA4DAD" w:rsidR="0029117F" w:rsidRDefault="009D0EDD" w:rsidP="00BB43CE">
      <w:pPr>
        <w:pStyle w:val="Heading2"/>
        <w:spacing w:before="0"/>
      </w:pPr>
      <w:r w:rsidRPr="00A27ADA">
        <w:t xml:space="preserve">3. </w:t>
      </w:r>
      <w:r w:rsidR="00277F0A" w:rsidRPr="00A27ADA">
        <w:t xml:space="preserve">Hospitality </w:t>
      </w:r>
      <w:r w:rsidR="00A27ADA" w:rsidRPr="00A27ADA">
        <w:t>&amp;</w:t>
      </w:r>
      <w:r w:rsidR="00277F0A" w:rsidRPr="00A27ADA">
        <w:t xml:space="preserve"> Procure</w:t>
      </w:r>
      <w:r w:rsidR="00A27ADA" w:rsidRPr="00A27ADA">
        <w:t>ment of</w:t>
      </w:r>
      <w:r w:rsidR="00277F0A" w:rsidRPr="00A27ADA">
        <w:t xml:space="preserve"> Fairtrade Certified Products</w:t>
      </w:r>
    </w:p>
    <w:p w14:paraId="4670949C" w14:textId="77777777" w:rsidR="00BB43CE" w:rsidRPr="00BB43CE" w:rsidRDefault="00BB43CE" w:rsidP="00BB43CE">
      <w:pPr>
        <w:spacing w:after="0"/>
      </w:pPr>
    </w:p>
    <w:p w14:paraId="71529027" w14:textId="77777777" w:rsidR="00277F0A" w:rsidRDefault="00277F0A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27ADA">
        <w:rPr>
          <w:rFonts w:ascii="Arial" w:hAnsi="Arial" w:cs="Arial"/>
        </w:rPr>
        <w:t>Ensure that a significant portion of the products purchased by the university, such as coffee, tea, chocolate, and textiles, are Fairtrade certified.</w:t>
      </w:r>
    </w:p>
    <w:p w14:paraId="25CF4037" w14:textId="77777777" w:rsidR="00BB43CE" w:rsidRPr="00A27ADA" w:rsidRDefault="00BB43CE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3C9A69B" w14:textId="76C6C749" w:rsidR="0029117F" w:rsidRPr="00A27ADA" w:rsidRDefault="00BD2FD5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  <w:r w:rsidRPr="00A27ADA">
        <w:rPr>
          <w:rFonts w:ascii="Arial" w:eastAsia="Arial" w:hAnsi="Arial" w:cs="Arial"/>
          <w:sz w:val="24"/>
          <w:szCs w:val="24"/>
        </w:rPr>
        <w:t>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Pr="00A27ADA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niversity</w:t>
      </w:r>
      <w:r w:rsidR="0029117F" w:rsidRPr="00A27ADA">
        <w:rPr>
          <w:rFonts w:ascii="Arial" w:eastAsia="Arial" w:hAnsi="Arial" w:cs="Arial"/>
          <w:sz w:val="24"/>
          <w:szCs w:val="24"/>
        </w:rPr>
        <w:t xml:space="preserve"> will </w:t>
      </w:r>
      <w:r w:rsidR="00277F0A" w:rsidRPr="00A27ADA">
        <w:rPr>
          <w:rFonts w:ascii="Arial" w:eastAsia="Arial" w:hAnsi="Arial" w:cs="Arial"/>
          <w:sz w:val="24"/>
          <w:szCs w:val="24"/>
        </w:rPr>
        <w:t xml:space="preserve">aim to </w:t>
      </w:r>
      <w:r w:rsidR="0029117F" w:rsidRPr="00A27ADA">
        <w:rPr>
          <w:rFonts w:ascii="Arial" w:eastAsia="Arial" w:hAnsi="Arial" w:cs="Arial"/>
          <w:sz w:val="24"/>
          <w:szCs w:val="24"/>
        </w:rPr>
        <w:t>offer Fairtrade tea, coffee, sugar at all internal meetings and hospitality events. 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="0029117F" w:rsidRPr="00A27ADA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niversity</w:t>
      </w:r>
      <w:r w:rsidR="0029117F" w:rsidRPr="00A27ADA">
        <w:rPr>
          <w:rFonts w:ascii="Arial" w:eastAsia="Arial" w:hAnsi="Arial" w:cs="Arial"/>
          <w:sz w:val="24"/>
          <w:szCs w:val="24"/>
        </w:rPr>
        <w:t xml:space="preserve"> commits to increasing the variety of Fairtrade products for events a</w:t>
      </w:r>
      <w:r w:rsidR="009D0EDD" w:rsidRPr="00A27ADA">
        <w:rPr>
          <w:rFonts w:ascii="Arial" w:eastAsia="Arial" w:hAnsi="Arial" w:cs="Arial"/>
          <w:sz w:val="24"/>
          <w:szCs w:val="24"/>
        </w:rPr>
        <w:t>s it becomes possible to do so.</w:t>
      </w:r>
    </w:p>
    <w:p w14:paraId="0E27B00A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16F9ADAD" w14:textId="42D84384" w:rsidR="0029117F" w:rsidRPr="00A27ADA" w:rsidRDefault="009D0EDD" w:rsidP="00BB43CE">
      <w:pPr>
        <w:pStyle w:val="Heading2"/>
        <w:spacing w:before="0"/>
      </w:pPr>
      <w:r w:rsidRPr="00A27ADA">
        <w:t>4. Workwear</w:t>
      </w:r>
    </w:p>
    <w:p w14:paraId="60061E4C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C2F8676" w14:textId="475D2C7C" w:rsidR="0029117F" w:rsidRPr="00A27ADA" w:rsidRDefault="00BD2FD5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  <w:r w:rsidRPr="00A27ADA">
        <w:rPr>
          <w:rFonts w:ascii="Arial" w:eastAsia="Arial" w:hAnsi="Arial" w:cs="Arial"/>
          <w:sz w:val="24"/>
          <w:szCs w:val="24"/>
        </w:rPr>
        <w:t>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Pr="00A27ADA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niversity</w:t>
      </w:r>
      <w:r w:rsidR="0029117F" w:rsidRPr="00A27ADA">
        <w:rPr>
          <w:rFonts w:ascii="Arial" w:eastAsia="Arial" w:hAnsi="Arial" w:cs="Arial"/>
          <w:sz w:val="24"/>
          <w:szCs w:val="24"/>
        </w:rPr>
        <w:t xml:space="preserve"> will encourage its staff to purchase Fairtrade cot</w:t>
      </w:r>
      <w:r w:rsidR="008771F4" w:rsidRPr="00A27ADA">
        <w:rPr>
          <w:rFonts w:ascii="Arial" w:eastAsia="Arial" w:hAnsi="Arial" w:cs="Arial"/>
          <w:sz w:val="24"/>
          <w:szCs w:val="24"/>
        </w:rPr>
        <w:t>ton workwear wherever possible. W</w:t>
      </w:r>
      <w:r w:rsidR="00F343C1">
        <w:rPr>
          <w:rFonts w:ascii="Arial" w:eastAsia="Arial" w:hAnsi="Arial" w:cs="Arial"/>
          <w:sz w:val="24"/>
          <w:szCs w:val="24"/>
        </w:rPr>
        <w:t>rexham</w:t>
      </w:r>
      <w:r w:rsidR="00BB43CE">
        <w:rPr>
          <w:rFonts w:ascii="Arial" w:eastAsia="Arial" w:hAnsi="Arial" w:cs="Arial"/>
          <w:sz w:val="24"/>
          <w:szCs w:val="24"/>
        </w:rPr>
        <w:t xml:space="preserve"> University </w:t>
      </w:r>
      <w:r w:rsidR="008771F4" w:rsidRPr="00A27ADA">
        <w:rPr>
          <w:rFonts w:ascii="Arial" w:eastAsia="Arial" w:hAnsi="Arial" w:cs="Arial"/>
          <w:sz w:val="24"/>
          <w:szCs w:val="24"/>
        </w:rPr>
        <w:t>S</w:t>
      </w:r>
      <w:r w:rsidR="00BB43CE">
        <w:rPr>
          <w:rFonts w:ascii="Arial" w:eastAsia="Arial" w:hAnsi="Arial" w:cs="Arial"/>
          <w:sz w:val="24"/>
          <w:szCs w:val="24"/>
        </w:rPr>
        <w:t>tudent</w:t>
      </w:r>
      <w:r w:rsidR="00F343C1">
        <w:rPr>
          <w:rFonts w:ascii="Arial" w:eastAsia="Arial" w:hAnsi="Arial" w:cs="Arial"/>
          <w:sz w:val="24"/>
          <w:szCs w:val="24"/>
        </w:rPr>
        <w:t>s’</w:t>
      </w:r>
      <w:r w:rsidR="00BB43CE">
        <w:rPr>
          <w:rFonts w:ascii="Arial" w:eastAsia="Arial" w:hAnsi="Arial" w:cs="Arial"/>
          <w:sz w:val="24"/>
          <w:szCs w:val="24"/>
        </w:rPr>
        <w:t xml:space="preserve"> Union</w:t>
      </w:r>
      <w:r w:rsidR="008771F4" w:rsidRPr="00A27ADA">
        <w:rPr>
          <w:rFonts w:ascii="Arial" w:eastAsia="Arial" w:hAnsi="Arial" w:cs="Arial"/>
          <w:sz w:val="24"/>
          <w:szCs w:val="24"/>
        </w:rPr>
        <w:t xml:space="preserve"> will provide and promote the sale of Fairtrade clothes to students.</w:t>
      </w:r>
    </w:p>
    <w:p w14:paraId="44EAFD9C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B94D5A5" w14:textId="0F4B5644" w:rsidR="0029117F" w:rsidRDefault="009D0EDD" w:rsidP="00BB43CE">
      <w:pPr>
        <w:pStyle w:val="Heading2"/>
        <w:spacing w:before="0"/>
      </w:pPr>
      <w:r w:rsidRPr="00A27ADA">
        <w:t xml:space="preserve">5. </w:t>
      </w:r>
      <w:r w:rsidR="00277F0A" w:rsidRPr="00A27ADA">
        <w:t>Promote Fairtrade Awareness</w:t>
      </w:r>
    </w:p>
    <w:p w14:paraId="2592FFB7" w14:textId="77777777" w:rsidR="00BB43CE" w:rsidRPr="00BB43CE" w:rsidRDefault="00BB43CE" w:rsidP="00BB43CE">
      <w:pPr>
        <w:spacing w:after="0"/>
      </w:pPr>
    </w:p>
    <w:p w14:paraId="1D05C3DB" w14:textId="77777777" w:rsidR="00277F0A" w:rsidRPr="00A27ADA" w:rsidRDefault="00277F0A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27ADA">
        <w:rPr>
          <w:rFonts w:ascii="Arial" w:hAnsi="Arial" w:cs="Arial"/>
        </w:rPr>
        <w:t>Increase awareness and understanding of Fairtrade principles among students, staff, and the wider community through educational campaigns, events, and workshops.</w:t>
      </w:r>
    </w:p>
    <w:p w14:paraId="286A02F5" w14:textId="5592D0F0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  <w:r w:rsidRPr="00A27ADA">
        <w:rPr>
          <w:rFonts w:ascii="Arial" w:eastAsia="Arial" w:hAnsi="Arial" w:cs="Arial"/>
          <w:sz w:val="24"/>
          <w:szCs w:val="24"/>
        </w:rPr>
        <w:t xml:space="preserve">Promotion will, where appropriate, include posters, displays, events such as Fairtrade Fortnight, details on WU web pages (e.g. Sustainability pages and </w:t>
      </w:r>
      <w:r w:rsidR="00BB43CE">
        <w:rPr>
          <w:rFonts w:ascii="Arial" w:eastAsia="Arial" w:hAnsi="Arial" w:cs="Arial"/>
          <w:sz w:val="24"/>
          <w:szCs w:val="24"/>
        </w:rPr>
        <w:t xml:space="preserve">Wrexham University Student Union </w:t>
      </w:r>
      <w:r w:rsidRPr="00A27ADA">
        <w:rPr>
          <w:rFonts w:ascii="Arial" w:eastAsia="Arial" w:hAnsi="Arial" w:cs="Arial"/>
          <w:sz w:val="24"/>
          <w:szCs w:val="24"/>
        </w:rPr>
        <w:t xml:space="preserve">website) and the use of other appropriate university media. </w:t>
      </w:r>
    </w:p>
    <w:p w14:paraId="3DEEC669" w14:textId="77777777" w:rsidR="00BD2FD5" w:rsidRPr="00A27ADA" w:rsidRDefault="00BD2FD5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BC5FB4" w14:textId="0C99A864" w:rsidR="0029117F" w:rsidRPr="00A27ADA" w:rsidRDefault="009D0EDD" w:rsidP="00BB43CE">
      <w:pPr>
        <w:pStyle w:val="Heading2"/>
        <w:spacing w:before="0"/>
      </w:pPr>
      <w:r w:rsidRPr="00A27ADA">
        <w:t>6. Staff and Student Support</w:t>
      </w:r>
      <w:r w:rsidR="00A27ADA">
        <w:t>:</w:t>
      </w:r>
    </w:p>
    <w:p w14:paraId="3656B9AB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2B205587" w14:textId="019113F8" w:rsidR="00280BFB" w:rsidRPr="00A27ADA" w:rsidRDefault="008771F4" w:rsidP="00BB43C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A27ADA">
        <w:rPr>
          <w:rFonts w:ascii="Arial" w:eastAsia="Arial" w:hAnsi="Arial" w:cs="Arial"/>
          <w:sz w:val="24"/>
          <w:szCs w:val="24"/>
        </w:rPr>
        <w:t xml:space="preserve">Details of this Policy, </w:t>
      </w:r>
      <w:r w:rsidR="0029117F" w:rsidRPr="00A27ADA">
        <w:rPr>
          <w:rFonts w:ascii="Arial" w:eastAsia="Arial" w:hAnsi="Arial" w:cs="Arial"/>
          <w:sz w:val="24"/>
          <w:szCs w:val="24"/>
        </w:rPr>
        <w:t>Fairtrade issues and the University’s commitment to address issues will be co</w:t>
      </w:r>
      <w:r w:rsidR="00D12966" w:rsidRPr="00A27ADA">
        <w:rPr>
          <w:rFonts w:ascii="Arial" w:eastAsia="Arial" w:hAnsi="Arial" w:cs="Arial"/>
          <w:sz w:val="24"/>
          <w:szCs w:val="24"/>
        </w:rPr>
        <w:t>mmunicated throughout 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="00D12966" w:rsidRPr="00A27ADA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niversity</w:t>
      </w:r>
      <w:r w:rsidR="0029117F" w:rsidRPr="00A27ADA">
        <w:rPr>
          <w:rFonts w:ascii="Arial" w:eastAsia="Arial" w:hAnsi="Arial" w:cs="Arial"/>
          <w:sz w:val="24"/>
          <w:szCs w:val="24"/>
        </w:rPr>
        <w:t xml:space="preserve"> </w:t>
      </w:r>
      <w:r w:rsidRPr="00A27ADA">
        <w:rPr>
          <w:rFonts w:ascii="Arial" w:eastAsia="Arial" w:hAnsi="Arial" w:cs="Arial"/>
          <w:sz w:val="24"/>
          <w:szCs w:val="24"/>
        </w:rPr>
        <w:t>and W</w:t>
      </w:r>
      <w:r w:rsidR="00BB43CE">
        <w:rPr>
          <w:rFonts w:ascii="Arial" w:eastAsia="Arial" w:hAnsi="Arial" w:cs="Arial"/>
          <w:sz w:val="24"/>
          <w:szCs w:val="24"/>
        </w:rPr>
        <w:t xml:space="preserve">rexham University </w:t>
      </w:r>
      <w:r w:rsidRPr="00A27ADA">
        <w:rPr>
          <w:rFonts w:ascii="Arial" w:eastAsia="Arial" w:hAnsi="Arial" w:cs="Arial"/>
          <w:sz w:val="24"/>
          <w:szCs w:val="24"/>
        </w:rPr>
        <w:t>S</w:t>
      </w:r>
      <w:r w:rsidR="00BB43CE">
        <w:rPr>
          <w:rFonts w:ascii="Arial" w:eastAsia="Arial" w:hAnsi="Arial" w:cs="Arial"/>
          <w:sz w:val="24"/>
          <w:szCs w:val="24"/>
        </w:rPr>
        <w:t>tudent</w:t>
      </w:r>
      <w:r w:rsidR="00E35AC7">
        <w:rPr>
          <w:rFonts w:ascii="Arial" w:eastAsia="Arial" w:hAnsi="Arial" w:cs="Arial"/>
          <w:sz w:val="24"/>
          <w:szCs w:val="24"/>
        </w:rPr>
        <w:t>s’</w:t>
      </w:r>
      <w:r w:rsidR="00BB43CE">
        <w:rPr>
          <w:rFonts w:ascii="Arial" w:eastAsia="Arial" w:hAnsi="Arial" w:cs="Arial"/>
          <w:sz w:val="24"/>
          <w:szCs w:val="24"/>
        </w:rPr>
        <w:t xml:space="preserve"> </w:t>
      </w:r>
      <w:r w:rsidRPr="00A27ADA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nion</w:t>
      </w:r>
      <w:r w:rsidRPr="00A27ADA">
        <w:rPr>
          <w:rFonts w:ascii="Arial" w:eastAsia="Arial" w:hAnsi="Arial" w:cs="Arial"/>
          <w:sz w:val="24"/>
          <w:szCs w:val="24"/>
        </w:rPr>
        <w:t xml:space="preserve"> </w:t>
      </w:r>
      <w:r w:rsidR="00BB43CE" w:rsidRPr="00A27ADA">
        <w:rPr>
          <w:rFonts w:ascii="Arial" w:eastAsia="Arial" w:hAnsi="Arial" w:cs="Arial"/>
          <w:sz w:val="24"/>
          <w:szCs w:val="24"/>
        </w:rPr>
        <w:t>to</w:t>
      </w:r>
      <w:r w:rsidR="0029117F" w:rsidRPr="00A27ADA">
        <w:rPr>
          <w:rFonts w:ascii="Arial" w:eastAsia="Arial" w:hAnsi="Arial" w:cs="Arial"/>
          <w:sz w:val="24"/>
          <w:szCs w:val="24"/>
        </w:rPr>
        <w:t xml:space="preserve"> gain support for </w:t>
      </w:r>
      <w:r w:rsidR="00BB43CE">
        <w:rPr>
          <w:rFonts w:ascii="Arial" w:eastAsia="Arial" w:hAnsi="Arial" w:cs="Arial"/>
          <w:sz w:val="24"/>
          <w:szCs w:val="24"/>
        </w:rPr>
        <w:t xml:space="preserve">the </w:t>
      </w:r>
      <w:r w:rsidR="00D12966" w:rsidRPr="00A27ADA">
        <w:rPr>
          <w:rFonts w:ascii="Arial" w:eastAsia="Arial" w:hAnsi="Arial" w:cs="Arial"/>
          <w:sz w:val="24"/>
          <w:szCs w:val="24"/>
        </w:rPr>
        <w:t>Fairtrade policy.</w:t>
      </w:r>
      <w:r w:rsidR="0029117F" w:rsidRPr="00A27ADA">
        <w:rPr>
          <w:rFonts w:ascii="Arial" w:eastAsia="Arial" w:hAnsi="Arial" w:cs="Arial"/>
          <w:sz w:val="24"/>
          <w:szCs w:val="24"/>
        </w:rPr>
        <w:t xml:space="preserve"> </w:t>
      </w:r>
      <w:r w:rsidR="00D12966" w:rsidRPr="00A27ADA">
        <w:rPr>
          <w:rFonts w:ascii="Arial" w:eastAsia="Arial" w:hAnsi="Arial" w:cs="Arial"/>
          <w:sz w:val="24"/>
          <w:szCs w:val="24"/>
        </w:rPr>
        <w:t xml:space="preserve">Staff, </w:t>
      </w:r>
      <w:proofErr w:type="gramStart"/>
      <w:r w:rsidR="00D12966" w:rsidRPr="00A27ADA">
        <w:rPr>
          <w:rFonts w:ascii="Arial" w:eastAsia="Arial" w:hAnsi="Arial" w:cs="Arial"/>
          <w:sz w:val="24"/>
          <w:szCs w:val="24"/>
        </w:rPr>
        <w:t>students</w:t>
      </w:r>
      <w:proofErr w:type="gramEnd"/>
      <w:r w:rsidR="00D12966" w:rsidRPr="00A27ADA">
        <w:rPr>
          <w:rFonts w:ascii="Arial" w:eastAsia="Arial" w:hAnsi="Arial" w:cs="Arial"/>
          <w:sz w:val="24"/>
          <w:szCs w:val="24"/>
        </w:rPr>
        <w:t xml:space="preserve"> and associates of W</w:t>
      </w:r>
      <w:r w:rsidR="00BB43CE">
        <w:rPr>
          <w:rFonts w:ascii="Arial" w:eastAsia="Arial" w:hAnsi="Arial" w:cs="Arial"/>
          <w:sz w:val="24"/>
          <w:szCs w:val="24"/>
        </w:rPr>
        <w:t xml:space="preserve">rexham </w:t>
      </w:r>
      <w:r w:rsidR="00D12966" w:rsidRPr="00A27ADA">
        <w:rPr>
          <w:rFonts w:ascii="Arial" w:eastAsia="Arial" w:hAnsi="Arial" w:cs="Arial"/>
          <w:sz w:val="24"/>
          <w:szCs w:val="24"/>
        </w:rPr>
        <w:t>U</w:t>
      </w:r>
      <w:r w:rsidR="00BB43CE">
        <w:rPr>
          <w:rFonts w:ascii="Arial" w:eastAsia="Arial" w:hAnsi="Arial" w:cs="Arial"/>
          <w:sz w:val="24"/>
          <w:szCs w:val="24"/>
        </w:rPr>
        <w:t>niversity</w:t>
      </w:r>
      <w:r w:rsidR="00D12966" w:rsidRPr="00A27ADA">
        <w:rPr>
          <w:rFonts w:ascii="Arial" w:eastAsia="Arial" w:hAnsi="Arial" w:cs="Arial"/>
          <w:sz w:val="24"/>
          <w:szCs w:val="24"/>
        </w:rPr>
        <w:t xml:space="preserve"> will</w:t>
      </w:r>
      <w:r w:rsidR="00280BFB" w:rsidRPr="00A27ADA">
        <w:rPr>
          <w:rFonts w:ascii="Arial" w:eastAsia="Arial" w:hAnsi="Arial" w:cs="Arial"/>
          <w:sz w:val="24"/>
          <w:szCs w:val="24"/>
        </w:rPr>
        <w:t xml:space="preserve"> e</w:t>
      </w:r>
      <w:r w:rsidR="00280BFB" w:rsidRPr="00A27ADA">
        <w:rPr>
          <w:rFonts w:ascii="Arial" w:hAnsi="Arial" w:cs="Arial"/>
          <w:sz w:val="24"/>
          <w:szCs w:val="24"/>
        </w:rPr>
        <w:t>ncourage student-led initiatives and activism to advocate for Fairtrade practices both within the university and in the broader community, promoting ethical consumerism and social justice.</w:t>
      </w:r>
    </w:p>
    <w:p w14:paraId="45FB0818" w14:textId="77777777" w:rsidR="0029117F" w:rsidRPr="00A27ADA" w:rsidRDefault="0029117F" w:rsidP="00BB43CE">
      <w:pPr>
        <w:pStyle w:val="NoSpacing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38D22C6" w14:textId="77777777" w:rsidR="00E35AC7" w:rsidRDefault="00E35AC7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049F31CB" w14:textId="35B7B450" w:rsidR="0029117F" w:rsidRDefault="009D0EDD" w:rsidP="00BB43CE">
      <w:pPr>
        <w:pStyle w:val="Heading2"/>
        <w:spacing w:before="0"/>
      </w:pPr>
      <w:r w:rsidRPr="00A27ADA">
        <w:lastRenderedPageBreak/>
        <w:t>7. Monitoring and Review</w:t>
      </w:r>
    </w:p>
    <w:p w14:paraId="04A42FBC" w14:textId="77777777" w:rsidR="00BB43CE" w:rsidRPr="00BB43CE" w:rsidRDefault="00BB43CE" w:rsidP="00BB43CE"/>
    <w:p w14:paraId="545BF445" w14:textId="747D6156" w:rsidR="008C7F68" w:rsidRPr="00A27ADA" w:rsidRDefault="00280BFB" w:rsidP="00BB43CE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</w:pPr>
      <w:r w:rsidRPr="00A27ADA">
        <w:rPr>
          <w:rFonts w:ascii="Arial" w:hAnsi="Arial" w:cs="Arial"/>
        </w:rPr>
        <w:t xml:space="preserve">Regularly assess and evaluate the </w:t>
      </w:r>
      <w:r w:rsidR="00BB43CE">
        <w:rPr>
          <w:rFonts w:ascii="Arial" w:hAnsi="Arial" w:cs="Arial"/>
        </w:rPr>
        <w:t>U</w:t>
      </w:r>
      <w:r w:rsidRPr="00A27ADA">
        <w:rPr>
          <w:rFonts w:ascii="Arial" w:hAnsi="Arial" w:cs="Arial"/>
        </w:rPr>
        <w:t>niversity's progress towards Fairtrade objectives,</w:t>
      </w:r>
      <w:r w:rsidR="00DA3885" w:rsidRPr="00A27ADA">
        <w:rPr>
          <w:rFonts w:ascii="Arial" w:eastAsia="Arial" w:hAnsi="Arial" w:cs="Arial"/>
        </w:rPr>
        <w:t xml:space="preserve"> with the aim of improving the University's support for Fairtrade. </w:t>
      </w:r>
    </w:p>
    <w:sectPr w:rsidR="008C7F68" w:rsidRPr="00A2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5FB39" w14:textId="77777777" w:rsidR="00B563BC" w:rsidRDefault="00B563BC" w:rsidP="00A87CF9">
      <w:pPr>
        <w:spacing w:after="0" w:line="240" w:lineRule="auto"/>
      </w:pPr>
      <w:r>
        <w:separator/>
      </w:r>
    </w:p>
  </w:endnote>
  <w:endnote w:type="continuationSeparator" w:id="0">
    <w:p w14:paraId="7103198D" w14:textId="77777777" w:rsidR="00B563BC" w:rsidRDefault="00B563BC" w:rsidP="00A87CF9">
      <w:pPr>
        <w:spacing w:after="0" w:line="240" w:lineRule="auto"/>
      </w:pPr>
      <w:r>
        <w:continuationSeparator/>
      </w:r>
    </w:p>
  </w:endnote>
  <w:endnote w:type="continuationNotice" w:id="1">
    <w:p w14:paraId="30D461CC" w14:textId="77777777" w:rsidR="00B563BC" w:rsidRDefault="00B563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4D555" w14:textId="77777777" w:rsidR="00B563BC" w:rsidRDefault="00B563BC" w:rsidP="00A87CF9">
      <w:pPr>
        <w:spacing w:after="0" w:line="240" w:lineRule="auto"/>
      </w:pPr>
      <w:r>
        <w:separator/>
      </w:r>
    </w:p>
  </w:footnote>
  <w:footnote w:type="continuationSeparator" w:id="0">
    <w:p w14:paraId="691FA966" w14:textId="77777777" w:rsidR="00B563BC" w:rsidRDefault="00B563BC" w:rsidP="00A87CF9">
      <w:pPr>
        <w:spacing w:after="0" w:line="240" w:lineRule="auto"/>
      </w:pPr>
      <w:r>
        <w:continuationSeparator/>
      </w:r>
    </w:p>
  </w:footnote>
  <w:footnote w:type="continuationNotice" w:id="1">
    <w:p w14:paraId="25A364DE" w14:textId="77777777" w:rsidR="00B563BC" w:rsidRDefault="00B563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91987"/>
    <w:multiLevelType w:val="hybridMultilevel"/>
    <w:tmpl w:val="F1C499B6"/>
    <w:lvl w:ilvl="0" w:tplc="5746B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36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87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1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41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C0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1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BE4"/>
    <w:multiLevelType w:val="hybridMultilevel"/>
    <w:tmpl w:val="6390E2E2"/>
    <w:lvl w:ilvl="0" w:tplc="78A853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8C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0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AB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A4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88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A1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8D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A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0BFE"/>
    <w:multiLevelType w:val="hybridMultilevel"/>
    <w:tmpl w:val="86A01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28303">
    <w:abstractNumId w:val="1"/>
  </w:num>
  <w:num w:numId="2" w16cid:durableId="1820878006">
    <w:abstractNumId w:val="0"/>
  </w:num>
  <w:num w:numId="3" w16cid:durableId="81476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7F"/>
    <w:rsid w:val="000A5C8A"/>
    <w:rsid w:val="000F2549"/>
    <w:rsid w:val="00237DD1"/>
    <w:rsid w:val="00273E2A"/>
    <w:rsid w:val="00277F0A"/>
    <w:rsid w:val="00280BFB"/>
    <w:rsid w:val="00287C02"/>
    <w:rsid w:val="0029117F"/>
    <w:rsid w:val="002C31F3"/>
    <w:rsid w:val="00347F90"/>
    <w:rsid w:val="00381837"/>
    <w:rsid w:val="003D6122"/>
    <w:rsid w:val="003F15C1"/>
    <w:rsid w:val="00433F7A"/>
    <w:rsid w:val="005279D2"/>
    <w:rsid w:val="005364DF"/>
    <w:rsid w:val="005F392E"/>
    <w:rsid w:val="00746BC1"/>
    <w:rsid w:val="00767E54"/>
    <w:rsid w:val="007C380D"/>
    <w:rsid w:val="007C3A67"/>
    <w:rsid w:val="007F137E"/>
    <w:rsid w:val="0080449F"/>
    <w:rsid w:val="008771F4"/>
    <w:rsid w:val="008A1338"/>
    <w:rsid w:val="008C7F68"/>
    <w:rsid w:val="008F0C35"/>
    <w:rsid w:val="00950F82"/>
    <w:rsid w:val="00962B98"/>
    <w:rsid w:val="0096352A"/>
    <w:rsid w:val="00991277"/>
    <w:rsid w:val="009A5154"/>
    <w:rsid w:val="009B71C6"/>
    <w:rsid w:val="009D0EDD"/>
    <w:rsid w:val="009E6841"/>
    <w:rsid w:val="00A26B9F"/>
    <w:rsid w:val="00A27ADA"/>
    <w:rsid w:val="00A87CF9"/>
    <w:rsid w:val="00AC4D1A"/>
    <w:rsid w:val="00AC7545"/>
    <w:rsid w:val="00AF217C"/>
    <w:rsid w:val="00B44107"/>
    <w:rsid w:val="00B563BC"/>
    <w:rsid w:val="00BB43CE"/>
    <w:rsid w:val="00BD2FD5"/>
    <w:rsid w:val="00C63372"/>
    <w:rsid w:val="00C721B2"/>
    <w:rsid w:val="00CB07C7"/>
    <w:rsid w:val="00D12966"/>
    <w:rsid w:val="00D75FEB"/>
    <w:rsid w:val="00DA3885"/>
    <w:rsid w:val="00DE1985"/>
    <w:rsid w:val="00DE7418"/>
    <w:rsid w:val="00E35AC7"/>
    <w:rsid w:val="00E718D0"/>
    <w:rsid w:val="00EC4A4B"/>
    <w:rsid w:val="00ED337D"/>
    <w:rsid w:val="00ED7BA9"/>
    <w:rsid w:val="00EF3A0A"/>
    <w:rsid w:val="00F343C1"/>
    <w:rsid w:val="00F4041E"/>
    <w:rsid w:val="00F77E81"/>
    <w:rsid w:val="00FB5D4A"/>
    <w:rsid w:val="03AD374B"/>
    <w:rsid w:val="0D1F6990"/>
    <w:rsid w:val="1AE83C2A"/>
    <w:rsid w:val="1F9C1E40"/>
    <w:rsid w:val="23E0AA52"/>
    <w:rsid w:val="6EA02D33"/>
    <w:rsid w:val="703BFD94"/>
    <w:rsid w:val="7FB4A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DAF5"/>
  <w15:chartTrackingRefBased/>
  <w15:docId w15:val="{ABE899AA-DCC5-4C4C-960E-3C8B7437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D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7ADA"/>
    <w:pPr>
      <w:keepNext/>
      <w:keepLines/>
      <w:spacing w:before="40" w:after="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1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11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F9"/>
  </w:style>
  <w:style w:type="paragraph" w:styleId="Footer">
    <w:name w:val="footer"/>
    <w:basedOn w:val="Normal"/>
    <w:link w:val="FooterChar"/>
    <w:uiPriority w:val="99"/>
    <w:unhideWhenUsed/>
    <w:rsid w:val="00A8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F9"/>
  </w:style>
  <w:style w:type="table" w:styleId="TableGrid">
    <w:name w:val="Table Grid"/>
    <w:basedOn w:val="TableNormal"/>
    <w:uiPriority w:val="39"/>
    <w:rsid w:val="009E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0E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D0ED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ED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0EDD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ADA"/>
    <w:rPr>
      <w:rFonts w:ascii="Arial" w:eastAsia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3CE"/>
    <w:rPr>
      <w:b/>
      <w:bCs/>
      <w:sz w:val="20"/>
      <w:szCs w:val="20"/>
    </w:rPr>
  </w:style>
  <w:style w:type="paragraph" w:customStyle="1" w:styleId="Default">
    <w:name w:val="Default"/>
    <w:rsid w:val="00C72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A56F058274347A97B7E19B74E34A8" ma:contentTypeVersion="8" ma:contentTypeDescription="Create a new document." ma:contentTypeScope="" ma:versionID="4a65e61d1a95d9adf52122fd21b07f14">
  <xsd:schema xmlns:xsd="http://www.w3.org/2001/XMLSchema" xmlns:xs="http://www.w3.org/2001/XMLSchema" xmlns:p="http://schemas.microsoft.com/office/2006/metadata/properties" xmlns:ns2="b4776439-3ac0-420b-9b83-f2c695890230" xmlns:ns3="cee0405b-c16a-46dc-bd11-0a190f402f65" targetNamespace="http://schemas.microsoft.com/office/2006/metadata/properties" ma:root="true" ma:fieldsID="861f7117d1f52420571760eb48c81bb0" ns2:_="" ns3:_="">
    <xsd:import namespace="b4776439-3ac0-420b-9b83-f2c695890230"/>
    <xsd:import namespace="cee0405b-c16a-46dc-bd11-0a190f402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76439-3ac0-420b-9b83-f2c695890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405b-c16a-46dc-bd11-0a190f402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483DC-CAB2-427F-BD2F-CC5DCA6D7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6E741-F2FA-455A-A2DF-22674B9C8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76439-3ac0-420b-9b83-f2c695890230"/>
    <ds:schemaRef ds:uri="cee0405b-c16a-46dc-bd11-0a190f402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5411B-2AE3-4E00-B7C2-9F94B81AD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Francis</dc:creator>
  <cp:keywords>Fairtrade Policy 2021</cp:keywords>
  <dc:description/>
  <cp:lastModifiedBy>Natalie Edwards</cp:lastModifiedBy>
  <cp:revision>2</cp:revision>
  <dcterms:created xsi:type="dcterms:W3CDTF">2024-04-24T13:05:00Z</dcterms:created>
  <dcterms:modified xsi:type="dcterms:W3CDTF">2024-04-24T13:05:00Z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0x010100075A56F058274347A97B7E19B74E34A8</vt:lpwstr>
  </property>
</Properties>
</file>