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ECE3" w14:textId="60D4B8C4" w:rsidR="0041467F" w:rsidRPr="00794A9B" w:rsidRDefault="008A04A4" w:rsidP="00794A9B">
      <w:pPr>
        <w:jc w:val="right"/>
        <w:rPr>
          <w:b/>
          <w:sz w:val="20"/>
          <w:szCs w:val="20"/>
        </w:rPr>
      </w:pPr>
      <w:r>
        <w:rPr>
          <w:noProof/>
        </w:rPr>
        <w:drawing>
          <wp:inline distT="0" distB="0" distL="0" distR="0" wp14:anchorId="5BC12F50" wp14:editId="1D40F06C">
            <wp:extent cx="2743200" cy="5376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7799" cy="546379"/>
                    </a:xfrm>
                    <a:prstGeom prst="rect">
                      <a:avLst/>
                    </a:prstGeom>
                    <a:noFill/>
                    <a:ln>
                      <a:noFill/>
                    </a:ln>
                  </pic:spPr>
                </pic:pic>
              </a:graphicData>
            </a:graphic>
          </wp:inline>
        </w:drawing>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389"/>
        <w:gridCol w:w="2703"/>
        <w:gridCol w:w="18"/>
        <w:gridCol w:w="1822"/>
        <w:gridCol w:w="897"/>
      </w:tblGrid>
      <w:tr w:rsidR="00397F09" w:rsidRPr="007B02D2" w14:paraId="573DDD20" w14:textId="77777777" w:rsidTr="00947B29">
        <w:tc>
          <w:tcPr>
            <w:tcW w:w="9508" w:type="dxa"/>
            <w:gridSpan w:val="6"/>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4BE2CF77" w14:textId="20F4CF5D" w:rsidR="00397F09" w:rsidRPr="007B02D2" w:rsidRDefault="007B02D2" w:rsidP="007B02D2">
            <w:pPr>
              <w:jc w:val="center"/>
              <w:rPr>
                <w:rFonts w:ascii="Arial" w:hAnsi="Arial" w:cs="Arial"/>
                <w:b/>
                <w:bCs/>
                <w:sz w:val="24"/>
                <w:szCs w:val="24"/>
                <w:lang w:val="en-US" w:bidi="bn-IN"/>
              </w:rPr>
            </w:pPr>
            <w:r w:rsidRPr="007B02D2">
              <w:rPr>
                <w:rFonts w:ascii="Arial" w:hAnsi="Arial" w:cs="Arial"/>
                <w:b/>
                <w:bCs/>
                <w:sz w:val="24"/>
                <w:szCs w:val="24"/>
                <w:lang w:val="en-US" w:bidi="bn-IN"/>
              </w:rPr>
              <w:t>MANAGEMENT HEADER</w:t>
            </w:r>
          </w:p>
        </w:tc>
      </w:tr>
      <w:tr w:rsidR="00397F09" w:rsidRPr="007B02D2" w14:paraId="362A08A5" w14:textId="77777777" w:rsidTr="00460D4E">
        <w:tc>
          <w:tcPr>
            <w:tcW w:w="267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7B58E6BE"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Department</w:t>
            </w:r>
          </w:p>
        </w:tc>
        <w:tc>
          <w:tcPr>
            <w:tcW w:w="6829" w:type="dxa"/>
            <w:gridSpan w:val="5"/>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1C990A3A" w14:textId="77777777" w:rsidR="00397F09" w:rsidRPr="007B02D2" w:rsidRDefault="00397F09" w:rsidP="00397F09">
            <w:pPr>
              <w:spacing w:after="0" w:line="360" w:lineRule="auto"/>
              <w:rPr>
                <w:rFonts w:ascii="Arial" w:hAnsi="Arial" w:cs="Arial"/>
                <w:sz w:val="24"/>
                <w:szCs w:val="24"/>
              </w:rPr>
            </w:pPr>
            <w:r w:rsidRPr="007B02D2">
              <w:rPr>
                <w:rFonts w:ascii="Arial" w:hAnsi="Arial" w:cs="Arial"/>
                <w:sz w:val="24"/>
                <w:szCs w:val="24"/>
              </w:rPr>
              <w:t xml:space="preserve">Finance </w:t>
            </w:r>
          </w:p>
        </w:tc>
      </w:tr>
      <w:tr w:rsidR="00397F09" w:rsidRPr="007B02D2" w14:paraId="0BD98204" w14:textId="77777777" w:rsidTr="00460D4E">
        <w:tc>
          <w:tcPr>
            <w:tcW w:w="267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059A76EA"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Author</w:t>
            </w:r>
          </w:p>
        </w:tc>
        <w:tc>
          <w:tcPr>
            <w:tcW w:w="6829" w:type="dxa"/>
            <w:gridSpan w:val="5"/>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11D0A1BD" w14:textId="77777777" w:rsidR="00397F09" w:rsidRPr="007B02D2" w:rsidRDefault="006559F2" w:rsidP="00397F09">
            <w:pPr>
              <w:spacing w:after="0" w:line="360" w:lineRule="auto"/>
              <w:rPr>
                <w:rFonts w:ascii="Arial" w:hAnsi="Arial" w:cs="Arial"/>
                <w:sz w:val="24"/>
                <w:szCs w:val="24"/>
              </w:rPr>
            </w:pPr>
            <w:r w:rsidRPr="007B02D2">
              <w:rPr>
                <w:rFonts w:ascii="Arial" w:hAnsi="Arial" w:cs="Arial"/>
                <w:sz w:val="24"/>
                <w:szCs w:val="24"/>
              </w:rPr>
              <w:t>Head of Finance</w:t>
            </w:r>
          </w:p>
        </w:tc>
      </w:tr>
      <w:tr w:rsidR="00397F09" w:rsidRPr="007B02D2" w14:paraId="0840703F" w14:textId="77777777" w:rsidTr="00460D4E">
        <w:tc>
          <w:tcPr>
            <w:tcW w:w="267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325D8954"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Authorised By:</w:t>
            </w:r>
          </w:p>
        </w:tc>
        <w:tc>
          <w:tcPr>
            <w:tcW w:w="6829" w:type="dxa"/>
            <w:gridSpan w:val="5"/>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496A25FE" w14:textId="77777777" w:rsidR="00397F09" w:rsidRPr="007B02D2" w:rsidRDefault="00397F09" w:rsidP="00397F09">
            <w:pPr>
              <w:spacing w:after="0" w:line="360" w:lineRule="auto"/>
              <w:rPr>
                <w:rFonts w:ascii="Arial" w:hAnsi="Arial" w:cs="Arial"/>
                <w:sz w:val="24"/>
                <w:szCs w:val="24"/>
              </w:rPr>
            </w:pPr>
            <w:r w:rsidRPr="007B02D2">
              <w:rPr>
                <w:rFonts w:ascii="Arial" w:hAnsi="Arial" w:cs="Arial"/>
                <w:sz w:val="24"/>
                <w:szCs w:val="24"/>
              </w:rPr>
              <w:t xml:space="preserve">Director of Finance </w:t>
            </w:r>
          </w:p>
        </w:tc>
      </w:tr>
      <w:tr w:rsidR="00397F09" w:rsidRPr="007B02D2" w14:paraId="5D950458" w14:textId="77777777" w:rsidTr="00460D4E">
        <w:tc>
          <w:tcPr>
            <w:tcW w:w="267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2B1ED4BD"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Implementation By:</w:t>
            </w:r>
          </w:p>
        </w:tc>
        <w:tc>
          <w:tcPr>
            <w:tcW w:w="6829" w:type="dxa"/>
            <w:gridSpan w:val="5"/>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58D424CF" w14:textId="77777777" w:rsidR="00397F09" w:rsidRPr="007B02D2" w:rsidRDefault="00397F09" w:rsidP="00397F09">
            <w:pPr>
              <w:spacing w:after="0" w:line="360" w:lineRule="auto"/>
              <w:rPr>
                <w:rFonts w:ascii="Arial" w:hAnsi="Arial" w:cs="Arial"/>
                <w:sz w:val="24"/>
                <w:szCs w:val="24"/>
              </w:rPr>
            </w:pPr>
            <w:r w:rsidRPr="007B02D2">
              <w:rPr>
                <w:rFonts w:ascii="Arial" w:hAnsi="Arial" w:cs="Arial"/>
                <w:sz w:val="24"/>
                <w:szCs w:val="24"/>
              </w:rPr>
              <w:t>Finance Department</w:t>
            </w:r>
          </w:p>
        </w:tc>
      </w:tr>
      <w:tr w:rsidR="00397F09" w:rsidRPr="007B02D2" w14:paraId="4B1029A2" w14:textId="77777777" w:rsidTr="00460D4E">
        <w:tc>
          <w:tcPr>
            <w:tcW w:w="267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38D49A6E"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Policy Reference:</w:t>
            </w:r>
          </w:p>
        </w:tc>
        <w:tc>
          <w:tcPr>
            <w:tcW w:w="6829" w:type="dxa"/>
            <w:gridSpan w:val="5"/>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shd w:val="clear" w:color="auto" w:fill="auto"/>
          </w:tcPr>
          <w:p w14:paraId="4F354E78" w14:textId="563B4D09" w:rsidR="00397F09" w:rsidRPr="007B02D2" w:rsidRDefault="007B02D2" w:rsidP="009C05EB">
            <w:pPr>
              <w:spacing w:after="0" w:line="360" w:lineRule="auto"/>
              <w:rPr>
                <w:rFonts w:ascii="Arial" w:hAnsi="Arial" w:cs="Arial"/>
                <w:sz w:val="24"/>
                <w:szCs w:val="24"/>
              </w:rPr>
            </w:pPr>
            <w:r w:rsidRPr="007B02D2">
              <w:rPr>
                <w:rFonts w:ascii="Arial" w:hAnsi="Arial" w:cs="Arial"/>
                <w:sz w:val="24"/>
                <w:szCs w:val="24"/>
              </w:rPr>
              <w:t>POFIN2324114</w:t>
            </w:r>
          </w:p>
        </w:tc>
      </w:tr>
      <w:tr w:rsidR="00397F09" w:rsidRPr="007B02D2" w14:paraId="20C247E7" w14:textId="77777777" w:rsidTr="00460D4E">
        <w:tc>
          <w:tcPr>
            <w:tcW w:w="267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461A161A"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Policies Replaced:</w:t>
            </w:r>
          </w:p>
        </w:tc>
        <w:tc>
          <w:tcPr>
            <w:tcW w:w="6829" w:type="dxa"/>
            <w:gridSpan w:val="5"/>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71CEACA6" w14:textId="7C58FD2C" w:rsidR="00397F09" w:rsidRPr="007B02D2" w:rsidRDefault="007B02D2" w:rsidP="002C672F">
            <w:pPr>
              <w:spacing w:after="0" w:line="360" w:lineRule="auto"/>
              <w:rPr>
                <w:rFonts w:ascii="Arial" w:hAnsi="Arial" w:cs="Arial"/>
                <w:sz w:val="24"/>
                <w:szCs w:val="24"/>
              </w:rPr>
            </w:pPr>
            <w:r w:rsidRPr="007B02D2">
              <w:rPr>
                <w:rFonts w:ascii="Arial" w:hAnsi="Arial" w:cs="Arial"/>
                <w:sz w:val="24"/>
                <w:szCs w:val="24"/>
              </w:rPr>
              <w:t>POFIN1920108</w:t>
            </w:r>
          </w:p>
        </w:tc>
      </w:tr>
      <w:tr w:rsidR="00397F09" w:rsidRPr="007B02D2" w14:paraId="3A37468A" w14:textId="77777777" w:rsidTr="000009CB">
        <w:tc>
          <w:tcPr>
            <w:tcW w:w="267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584D3C76"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Version No:</w:t>
            </w:r>
          </w:p>
        </w:tc>
        <w:tc>
          <w:tcPr>
            <w:tcW w:w="138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26156904" w14:textId="77777777" w:rsidR="00397F09" w:rsidRPr="007B02D2" w:rsidRDefault="002333C9" w:rsidP="00397F09">
            <w:pPr>
              <w:spacing w:after="0" w:line="360" w:lineRule="auto"/>
              <w:rPr>
                <w:rFonts w:ascii="Arial" w:hAnsi="Arial" w:cs="Arial"/>
                <w:sz w:val="24"/>
                <w:szCs w:val="24"/>
              </w:rPr>
            </w:pPr>
            <w:r w:rsidRPr="007B02D2">
              <w:rPr>
                <w:rFonts w:ascii="Arial" w:hAnsi="Arial" w:cs="Arial"/>
                <w:sz w:val="24"/>
                <w:szCs w:val="24"/>
              </w:rPr>
              <w:t>2</w:t>
            </w:r>
          </w:p>
        </w:tc>
        <w:tc>
          <w:tcPr>
            <w:tcW w:w="2721" w:type="dxa"/>
            <w:gridSpan w:val="2"/>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1E6A7261"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Approval Committee:</w:t>
            </w:r>
          </w:p>
        </w:tc>
        <w:tc>
          <w:tcPr>
            <w:tcW w:w="2719" w:type="dxa"/>
            <w:gridSpan w:val="2"/>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74B2C85B" w14:textId="77777777" w:rsidR="002333C9" w:rsidRPr="007B02D2" w:rsidRDefault="002333C9" w:rsidP="002333C9">
            <w:pPr>
              <w:spacing w:after="0" w:line="240" w:lineRule="auto"/>
              <w:rPr>
                <w:rFonts w:ascii="Arial" w:hAnsi="Arial" w:cs="Arial"/>
                <w:sz w:val="24"/>
                <w:szCs w:val="24"/>
              </w:rPr>
            </w:pPr>
            <w:r w:rsidRPr="007B02D2">
              <w:rPr>
                <w:rFonts w:ascii="Arial" w:hAnsi="Arial" w:cs="Arial"/>
                <w:sz w:val="24"/>
                <w:szCs w:val="24"/>
              </w:rPr>
              <w:t>VCB</w:t>
            </w:r>
          </w:p>
          <w:p w14:paraId="09BD3217" w14:textId="77777777" w:rsidR="00397F09" w:rsidRPr="007B02D2" w:rsidRDefault="002C672F" w:rsidP="008F0E42">
            <w:pPr>
              <w:spacing w:after="0" w:line="240" w:lineRule="auto"/>
              <w:rPr>
                <w:rFonts w:ascii="Arial" w:hAnsi="Arial" w:cs="Arial"/>
                <w:sz w:val="24"/>
                <w:szCs w:val="24"/>
              </w:rPr>
            </w:pPr>
            <w:r w:rsidRPr="007B02D2">
              <w:rPr>
                <w:rFonts w:ascii="Arial" w:hAnsi="Arial" w:cs="Arial"/>
                <w:sz w:val="24"/>
                <w:szCs w:val="24"/>
              </w:rPr>
              <w:t xml:space="preserve">Strategy </w:t>
            </w:r>
            <w:r w:rsidR="008F0E42" w:rsidRPr="007B02D2">
              <w:rPr>
                <w:rFonts w:ascii="Arial" w:hAnsi="Arial" w:cs="Arial"/>
                <w:sz w:val="24"/>
                <w:szCs w:val="24"/>
              </w:rPr>
              <w:t>&amp;</w:t>
            </w:r>
            <w:r w:rsidRPr="007B02D2">
              <w:rPr>
                <w:rFonts w:ascii="Arial" w:hAnsi="Arial" w:cs="Arial"/>
                <w:sz w:val="24"/>
                <w:szCs w:val="24"/>
              </w:rPr>
              <w:t xml:space="preserve"> Finance Committee</w:t>
            </w:r>
          </w:p>
        </w:tc>
      </w:tr>
      <w:tr w:rsidR="00397F09" w:rsidRPr="007B02D2" w14:paraId="64A589C8" w14:textId="77777777" w:rsidTr="00460D4E">
        <w:tc>
          <w:tcPr>
            <w:tcW w:w="267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759A0016"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Date approved:</w:t>
            </w:r>
          </w:p>
        </w:tc>
        <w:tc>
          <w:tcPr>
            <w:tcW w:w="138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300231AC" w14:textId="661241E0" w:rsidR="005E3789" w:rsidRPr="007B02D2" w:rsidRDefault="007B02D2" w:rsidP="00397F09">
            <w:pPr>
              <w:spacing w:after="0" w:line="360" w:lineRule="auto"/>
              <w:rPr>
                <w:rFonts w:ascii="Arial" w:hAnsi="Arial" w:cs="Arial"/>
                <w:sz w:val="24"/>
                <w:szCs w:val="24"/>
              </w:rPr>
            </w:pPr>
            <w:r w:rsidRPr="007B02D2">
              <w:rPr>
                <w:rFonts w:ascii="Arial" w:hAnsi="Arial" w:cs="Arial"/>
                <w:sz w:val="24"/>
                <w:szCs w:val="24"/>
              </w:rPr>
              <w:t>10.07.23</w:t>
            </w:r>
          </w:p>
          <w:p w14:paraId="5F3859B1" w14:textId="65760A4F" w:rsidR="004A614B" w:rsidRPr="007B02D2" w:rsidRDefault="004A614B" w:rsidP="005E3789">
            <w:pPr>
              <w:spacing w:after="0" w:line="360" w:lineRule="auto"/>
              <w:rPr>
                <w:rFonts w:ascii="Arial" w:hAnsi="Arial" w:cs="Arial"/>
                <w:sz w:val="24"/>
                <w:szCs w:val="24"/>
              </w:rPr>
            </w:pPr>
          </w:p>
        </w:tc>
        <w:tc>
          <w:tcPr>
            <w:tcW w:w="2703"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0FD5BCB6"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Minute no:</w:t>
            </w:r>
          </w:p>
        </w:tc>
        <w:tc>
          <w:tcPr>
            <w:tcW w:w="2737" w:type="dxa"/>
            <w:gridSpan w:val="3"/>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02AFBDEC" w14:textId="77777777" w:rsidR="008F0E42" w:rsidRDefault="00AB5796" w:rsidP="00397F09">
            <w:pPr>
              <w:spacing w:after="0" w:line="360" w:lineRule="auto"/>
              <w:rPr>
                <w:rFonts w:ascii="Arial" w:hAnsi="Arial" w:cs="Arial"/>
                <w:sz w:val="24"/>
                <w:szCs w:val="24"/>
              </w:rPr>
            </w:pPr>
            <w:r>
              <w:rPr>
                <w:rFonts w:ascii="Arial" w:hAnsi="Arial" w:cs="Arial"/>
                <w:sz w:val="24"/>
                <w:szCs w:val="24"/>
              </w:rPr>
              <w:t>22.75.02</w:t>
            </w:r>
          </w:p>
          <w:p w14:paraId="66FF2118" w14:textId="1205CD80" w:rsidR="00553166" w:rsidRPr="007B02D2" w:rsidRDefault="00553166" w:rsidP="00397F09">
            <w:pPr>
              <w:spacing w:after="0" w:line="360" w:lineRule="auto"/>
              <w:rPr>
                <w:rFonts w:ascii="Arial" w:hAnsi="Arial" w:cs="Arial"/>
                <w:sz w:val="24"/>
                <w:szCs w:val="24"/>
              </w:rPr>
            </w:pPr>
            <w:r>
              <w:rPr>
                <w:rFonts w:ascii="Arial" w:hAnsi="Arial" w:cs="Arial"/>
                <w:sz w:val="24"/>
                <w:szCs w:val="24"/>
              </w:rPr>
              <w:t>22</w:t>
            </w:r>
          </w:p>
        </w:tc>
      </w:tr>
      <w:tr w:rsidR="00397F09" w:rsidRPr="007B02D2" w14:paraId="2672B9A6" w14:textId="77777777" w:rsidTr="000009CB">
        <w:tc>
          <w:tcPr>
            <w:tcW w:w="267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3DA3A55C"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Status:</w:t>
            </w:r>
          </w:p>
        </w:tc>
        <w:tc>
          <w:tcPr>
            <w:tcW w:w="138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4A0B7CE2" w14:textId="12F04AD7" w:rsidR="00397F09" w:rsidRPr="007B02D2" w:rsidRDefault="00553166" w:rsidP="00397F09">
            <w:pPr>
              <w:spacing w:after="0" w:line="360" w:lineRule="auto"/>
              <w:rPr>
                <w:rFonts w:ascii="Arial" w:hAnsi="Arial" w:cs="Arial"/>
                <w:sz w:val="24"/>
                <w:szCs w:val="24"/>
              </w:rPr>
            </w:pPr>
            <w:r>
              <w:rPr>
                <w:rFonts w:ascii="Arial" w:hAnsi="Arial" w:cs="Arial"/>
                <w:sz w:val="24"/>
                <w:szCs w:val="24"/>
              </w:rPr>
              <w:t>Approved</w:t>
            </w:r>
          </w:p>
        </w:tc>
        <w:tc>
          <w:tcPr>
            <w:tcW w:w="2721" w:type="dxa"/>
            <w:gridSpan w:val="2"/>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35C2C85D"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Implementation Date:</w:t>
            </w:r>
          </w:p>
        </w:tc>
        <w:tc>
          <w:tcPr>
            <w:tcW w:w="2719" w:type="dxa"/>
            <w:gridSpan w:val="2"/>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0C8D5E99" w14:textId="2B70CBEF" w:rsidR="00397F09" w:rsidRPr="007B02D2" w:rsidRDefault="007B02D2" w:rsidP="00397F09">
            <w:pPr>
              <w:spacing w:after="0" w:line="360" w:lineRule="auto"/>
              <w:rPr>
                <w:rFonts w:ascii="Arial" w:hAnsi="Arial" w:cs="Arial"/>
                <w:sz w:val="24"/>
                <w:szCs w:val="24"/>
              </w:rPr>
            </w:pPr>
            <w:r w:rsidRPr="007B02D2">
              <w:rPr>
                <w:rFonts w:ascii="Arial" w:hAnsi="Arial" w:cs="Arial"/>
                <w:sz w:val="24"/>
                <w:szCs w:val="24"/>
              </w:rPr>
              <w:t>August 23</w:t>
            </w:r>
          </w:p>
        </w:tc>
      </w:tr>
      <w:tr w:rsidR="00397F09" w:rsidRPr="007B02D2" w14:paraId="3B815982" w14:textId="77777777" w:rsidTr="000009CB">
        <w:tc>
          <w:tcPr>
            <w:tcW w:w="267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1A48D346"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Period of approval:</w:t>
            </w:r>
          </w:p>
        </w:tc>
        <w:tc>
          <w:tcPr>
            <w:tcW w:w="138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76DDE038" w14:textId="77777777" w:rsidR="00397F09" w:rsidRPr="007B02D2" w:rsidRDefault="002333C9" w:rsidP="00397F09">
            <w:pPr>
              <w:spacing w:after="0" w:line="360" w:lineRule="auto"/>
              <w:rPr>
                <w:rFonts w:ascii="Arial" w:hAnsi="Arial" w:cs="Arial"/>
                <w:sz w:val="24"/>
                <w:szCs w:val="24"/>
              </w:rPr>
            </w:pPr>
            <w:r w:rsidRPr="007B02D2">
              <w:rPr>
                <w:rFonts w:ascii="Arial" w:hAnsi="Arial" w:cs="Arial"/>
                <w:sz w:val="24"/>
                <w:szCs w:val="24"/>
              </w:rPr>
              <w:t>3 years</w:t>
            </w:r>
          </w:p>
        </w:tc>
        <w:tc>
          <w:tcPr>
            <w:tcW w:w="2721" w:type="dxa"/>
            <w:gridSpan w:val="2"/>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38EFC299" w14:textId="77777777" w:rsidR="00397F09" w:rsidRPr="007B02D2" w:rsidRDefault="00397F09" w:rsidP="00397F09">
            <w:pPr>
              <w:spacing w:after="0" w:line="360" w:lineRule="auto"/>
              <w:rPr>
                <w:rFonts w:ascii="Arial" w:hAnsi="Arial" w:cs="Arial"/>
                <w:b/>
                <w:sz w:val="24"/>
                <w:szCs w:val="24"/>
              </w:rPr>
            </w:pPr>
            <w:r w:rsidRPr="007B02D2">
              <w:rPr>
                <w:rFonts w:ascii="Arial" w:hAnsi="Arial" w:cs="Arial"/>
                <w:b/>
                <w:sz w:val="24"/>
                <w:szCs w:val="24"/>
              </w:rPr>
              <w:t>Review Date:</w:t>
            </w:r>
          </w:p>
        </w:tc>
        <w:tc>
          <w:tcPr>
            <w:tcW w:w="2719" w:type="dxa"/>
            <w:gridSpan w:val="2"/>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610943F8" w14:textId="4C3402D5" w:rsidR="00397F09" w:rsidRPr="007B02D2" w:rsidRDefault="007B02D2" w:rsidP="00397F09">
            <w:pPr>
              <w:spacing w:after="0" w:line="360" w:lineRule="auto"/>
              <w:rPr>
                <w:rFonts w:ascii="Arial" w:hAnsi="Arial" w:cs="Arial"/>
                <w:sz w:val="24"/>
                <w:szCs w:val="24"/>
              </w:rPr>
            </w:pPr>
            <w:r w:rsidRPr="007B02D2">
              <w:rPr>
                <w:rFonts w:ascii="Arial" w:hAnsi="Arial" w:cs="Arial"/>
                <w:sz w:val="24"/>
                <w:szCs w:val="24"/>
              </w:rPr>
              <w:t>August 26</w:t>
            </w:r>
          </w:p>
        </w:tc>
      </w:tr>
      <w:tr w:rsidR="00460D4E" w:rsidRPr="003C5083" w14:paraId="4A7A73E2" w14:textId="77777777" w:rsidTr="00495012">
        <w:tc>
          <w:tcPr>
            <w:tcW w:w="8611" w:type="dxa"/>
            <w:gridSpan w:val="5"/>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56F6ACBC" w14:textId="77777777" w:rsidR="00460D4E" w:rsidRPr="003C5083" w:rsidRDefault="00460D4E" w:rsidP="00495012">
            <w:pPr>
              <w:pStyle w:val="Default"/>
              <w:jc w:val="both"/>
              <w:rPr>
                <w:b/>
              </w:rPr>
            </w:pPr>
            <w:r w:rsidRPr="003C5083">
              <w:t xml:space="preserve">I have carried out </w:t>
            </w:r>
            <w:r>
              <w:rPr>
                <w:b/>
                <w:bCs/>
              </w:rPr>
              <w:t xml:space="preserve">AND SUBMITTED </w:t>
            </w:r>
            <w:r w:rsidRPr="003C5083">
              <w:t xml:space="preserve">an </w:t>
            </w:r>
            <w:hyperlink r:id="rId6" w:history="1">
              <w:r>
                <w:rPr>
                  <w:rStyle w:val="Hyperlink"/>
                </w:rPr>
                <w:t>Equality Impact Assessment</w:t>
              </w:r>
            </w:hyperlink>
            <w:r>
              <w:t xml:space="preserve"> </w:t>
            </w:r>
            <w:r w:rsidRPr="003C5083">
              <w:t xml:space="preserve">to help safeguard against discrimination and promote equality. </w:t>
            </w:r>
          </w:p>
        </w:tc>
        <w:tc>
          <w:tcPr>
            <w:tcW w:w="897"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vAlign w:val="center"/>
          </w:tcPr>
          <w:p w14:paraId="504D8F2C" w14:textId="72235E35" w:rsidR="00460D4E" w:rsidRPr="003C5083" w:rsidRDefault="00AB5796" w:rsidP="00495012">
            <w:pPr>
              <w:rPr>
                <w:rFonts w:ascii="Arial" w:hAnsi="Arial" w:cs="Arial"/>
                <w:sz w:val="24"/>
                <w:szCs w:val="24"/>
              </w:rPr>
            </w:pPr>
            <w:r>
              <w:rPr>
                <w:rFonts w:ascii="Arial" w:hAnsi="Arial" w:cs="Arial"/>
                <w:sz w:val="24"/>
                <w:szCs w:val="24"/>
              </w:rPr>
              <w:sym w:font="Wingdings 2" w:char="F050"/>
            </w:r>
          </w:p>
        </w:tc>
      </w:tr>
      <w:tr w:rsidR="00460D4E" w:rsidRPr="003C5083" w14:paraId="7E2A0479" w14:textId="77777777" w:rsidTr="00495012">
        <w:tc>
          <w:tcPr>
            <w:tcW w:w="8611" w:type="dxa"/>
            <w:gridSpan w:val="5"/>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56BC8A54" w14:textId="77777777" w:rsidR="00460D4E" w:rsidRPr="003C5083" w:rsidRDefault="00460D4E" w:rsidP="00495012">
            <w:pPr>
              <w:pStyle w:val="Default"/>
              <w:jc w:val="both"/>
            </w:pPr>
            <w:r w:rsidRPr="003C5083">
              <w:t xml:space="preserve">I have carried out </w:t>
            </w:r>
            <w:r>
              <w:rPr>
                <w:b/>
                <w:bCs/>
              </w:rPr>
              <w:t xml:space="preserve">AND SUBMITTED </w:t>
            </w:r>
            <w:r>
              <w:t xml:space="preserve">a </w:t>
            </w:r>
            <w:hyperlink r:id="rId7" w:history="1">
              <w:r>
                <w:rPr>
                  <w:rStyle w:val="Hyperlink"/>
                </w:rPr>
                <w:t>Welsh Language Impact Assessment</w:t>
              </w:r>
            </w:hyperlink>
            <w:r>
              <w:t xml:space="preserve"> </w:t>
            </w:r>
            <w:r w:rsidRPr="003C5083">
              <w:t xml:space="preserve"> </w:t>
            </w:r>
            <w:r>
              <w:t xml:space="preserve"> to help protect the </w:t>
            </w:r>
            <w:r w:rsidRPr="003C5083">
              <w:t>Welsh language and Welsh language provision within the University.</w:t>
            </w:r>
          </w:p>
        </w:tc>
        <w:tc>
          <w:tcPr>
            <w:tcW w:w="897"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vAlign w:val="center"/>
          </w:tcPr>
          <w:p w14:paraId="1A13A191" w14:textId="51E1FC7B" w:rsidR="00460D4E" w:rsidRPr="003C5083" w:rsidRDefault="00AB5796" w:rsidP="00495012">
            <w:pPr>
              <w:rPr>
                <w:rFonts w:ascii="Arial" w:hAnsi="Arial" w:cs="Arial"/>
                <w:sz w:val="24"/>
                <w:szCs w:val="24"/>
              </w:rPr>
            </w:pPr>
            <w:r>
              <w:rPr>
                <w:rFonts w:ascii="Arial" w:hAnsi="Arial" w:cs="Arial"/>
                <w:sz w:val="24"/>
                <w:szCs w:val="24"/>
              </w:rPr>
              <w:sym w:font="Wingdings 2" w:char="F050"/>
            </w:r>
          </w:p>
        </w:tc>
      </w:tr>
    </w:tbl>
    <w:p w14:paraId="6C53B6F3" w14:textId="77777777" w:rsidR="00397F09" w:rsidRDefault="00397F09" w:rsidP="00397F09">
      <w:pPr>
        <w:spacing w:after="0" w:line="240" w:lineRule="auto"/>
        <w:rPr>
          <w:rFonts w:ascii="Arial" w:hAnsi="Arial" w:cs="Arial"/>
        </w:rPr>
      </w:pPr>
    </w:p>
    <w:p w14:paraId="6A7BD42E" w14:textId="2B87DF06" w:rsidR="007B02D2" w:rsidRPr="00460D4E" w:rsidRDefault="007B02D2" w:rsidP="00460D4E">
      <w:pPr>
        <w:pStyle w:val="Heading1"/>
      </w:pPr>
      <w:r w:rsidRPr="00460D4E">
        <w:rPr>
          <w:rFonts w:eastAsia="MS Mincho"/>
          <w:lang w:val="en-US" w:bidi="bn-IN"/>
        </w:rPr>
        <w:t>TREASURY MANAGEMENT POLICY STATEMENT</w:t>
      </w:r>
    </w:p>
    <w:p w14:paraId="629E899A" w14:textId="77777777" w:rsidR="00397F09" w:rsidRPr="00460D4E" w:rsidRDefault="00397F09" w:rsidP="00460D4E">
      <w:pPr>
        <w:pStyle w:val="Heading2"/>
      </w:pPr>
      <w:r w:rsidRPr="00460D4E">
        <w:t>1</w:t>
      </w:r>
      <w:r w:rsidRPr="00460D4E">
        <w:tab/>
        <w:t>Terms of Reference</w:t>
      </w:r>
    </w:p>
    <w:p w14:paraId="7711C690" w14:textId="77777777" w:rsidR="00397F09" w:rsidRPr="00460D4E" w:rsidRDefault="00397F09" w:rsidP="00460D4E">
      <w:pPr>
        <w:spacing w:after="0" w:line="276" w:lineRule="auto"/>
        <w:rPr>
          <w:rFonts w:ascii="Arial" w:hAnsi="Arial" w:cs="Arial"/>
          <w:sz w:val="24"/>
          <w:szCs w:val="24"/>
        </w:rPr>
      </w:pPr>
    </w:p>
    <w:p w14:paraId="6D4C84F9" w14:textId="16EE0015" w:rsidR="00397F09" w:rsidRDefault="00397F09" w:rsidP="00460D4E">
      <w:pPr>
        <w:spacing w:after="0" w:line="276" w:lineRule="auto"/>
        <w:ind w:left="720"/>
        <w:rPr>
          <w:rFonts w:ascii="Arial" w:hAnsi="Arial" w:cs="Arial"/>
          <w:sz w:val="24"/>
          <w:szCs w:val="24"/>
        </w:rPr>
      </w:pPr>
      <w:r w:rsidRPr="00460D4E">
        <w:rPr>
          <w:rFonts w:ascii="Arial" w:hAnsi="Arial" w:cs="Arial"/>
          <w:sz w:val="24"/>
          <w:szCs w:val="24"/>
        </w:rPr>
        <w:t>This s</w:t>
      </w:r>
      <w:r w:rsidR="00951D30" w:rsidRPr="00460D4E">
        <w:rPr>
          <w:rFonts w:ascii="Arial" w:hAnsi="Arial" w:cs="Arial"/>
          <w:sz w:val="24"/>
          <w:szCs w:val="24"/>
        </w:rPr>
        <w:t>tatement sets out</w:t>
      </w:r>
      <w:r w:rsidR="00FB6A30" w:rsidRPr="00460D4E">
        <w:rPr>
          <w:rFonts w:ascii="Arial" w:hAnsi="Arial" w:cs="Arial"/>
          <w:sz w:val="24"/>
          <w:szCs w:val="24"/>
        </w:rPr>
        <w:t xml:space="preserve"> Wrexham University and its subsidiaries (The Group)</w:t>
      </w:r>
      <w:r w:rsidRPr="00460D4E">
        <w:rPr>
          <w:rFonts w:ascii="Arial" w:hAnsi="Arial" w:cs="Arial"/>
          <w:sz w:val="24"/>
          <w:szCs w:val="24"/>
        </w:rPr>
        <w:t xml:space="preserve"> policy concerning the raising of capital finance, the investment of surplus monies and the internal movements of surplus funds between instruments and accounts established by the Institute. This statement is to be adopte</w:t>
      </w:r>
      <w:r w:rsidR="0041467F" w:rsidRPr="00460D4E">
        <w:rPr>
          <w:rFonts w:ascii="Arial" w:hAnsi="Arial" w:cs="Arial"/>
          <w:sz w:val="24"/>
          <w:szCs w:val="24"/>
        </w:rPr>
        <w:t>d by the Group</w:t>
      </w:r>
      <w:r w:rsidRPr="00460D4E">
        <w:rPr>
          <w:rFonts w:ascii="Arial" w:hAnsi="Arial" w:cs="Arial"/>
          <w:sz w:val="24"/>
          <w:szCs w:val="24"/>
        </w:rPr>
        <w:t xml:space="preserve"> as part of its Financial Regulations.</w:t>
      </w:r>
    </w:p>
    <w:p w14:paraId="56650026" w14:textId="77777777" w:rsidR="00460D4E" w:rsidRPr="00460D4E" w:rsidRDefault="00460D4E" w:rsidP="00460D4E">
      <w:pPr>
        <w:spacing w:after="0" w:line="276" w:lineRule="auto"/>
        <w:ind w:left="720"/>
        <w:rPr>
          <w:rFonts w:ascii="Arial" w:hAnsi="Arial" w:cs="Arial"/>
          <w:sz w:val="24"/>
          <w:szCs w:val="24"/>
        </w:rPr>
      </w:pPr>
    </w:p>
    <w:p w14:paraId="2B9636E0" w14:textId="77777777" w:rsidR="00397F09" w:rsidRPr="00460D4E" w:rsidRDefault="00397F09" w:rsidP="00460D4E">
      <w:pPr>
        <w:pStyle w:val="Heading2"/>
      </w:pPr>
      <w:r w:rsidRPr="00460D4E">
        <w:t>2</w:t>
      </w:r>
      <w:r w:rsidRPr="00460D4E">
        <w:tab/>
        <w:t>Definition and Scope</w:t>
      </w:r>
    </w:p>
    <w:p w14:paraId="3CC3F0F0" w14:textId="77777777" w:rsidR="00397F09" w:rsidRPr="00460D4E" w:rsidRDefault="00397F09" w:rsidP="00460D4E">
      <w:pPr>
        <w:spacing w:after="0" w:line="276" w:lineRule="auto"/>
        <w:rPr>
          <w:rFonts w:ascii="Arial" w:hAnsi="Arial" w:cs="Arial"/>
          <w:sz w:val="24"/>
          <w:szCs w:val="24"/>
        </w:rPr>
      </w:pPr>
    </w:p>
    <w:p w14:paraId="43FEFE8E"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Treasury management comprises the management of all cash, money market investments and capital market transactions connected with the cash an</w:t>
      </w:r>
      <w:r w:rsidR="0041467F" w:rsidRPr="00460D4E">
        <w:rPr>
          <w:rFonts w:ascii="Arial" w:hAnsi="Arial" w:cs="Arial"/>
          <w:sz w:val="24"/>
          <w:szCs w:val="24"/>
        </w:rPr>
        <w:t>d funding resources of the Group</w:t>
      </w:r>
      <w:r w:rsidRPr="00460D4E">
        <w:rPr>
          <w:rFonts w:ascii="Arial" w:hAnsi="Arial" w:cs="Arial"/>
          <w:sz w:val="24"/>
          <w:szCs w:val="24"/>
        </w:rPr>
        <w:t xml:space="preserve"> and the identification and control of all associated risks.</w:t>
      </w:r>
    </w:p>
    <w:p w14:paraId="28785F7C" w14:textId="77777777" w:rsidR="00A511A8" w:rsidRPr="00460D4E" w:rsidRDefault="00A511A8" w:rsidP="00460D4E">
      <w:pPr>
        <w:spacing w:after="0" w:line="276" w:lineRule="auto"/>
        <w:ind w:left="720"/>
        <w:rPr>
          <w:rFonts w:ascii="Arial" w:hAnsi="Arial" w:cs="Arial"/>
          <w:sz w:val="24"/>
          <w:szCs w:val="24"/>
        </w:rPr>
      </w:pPr>
    </w:p>
    <w:p w14:paraId="2CF3DFFB" w14:textId="77777777" w:rsidR="00A511A8" w:rsidRPr="00460D4E" w:rsidRDefault="00A511A8" w:rsidP="00460D4E">
      <w:pPr>
        <w:spacing w:after="0" w:line="276" w:lineRule="auto"/>
        <w:ind w:left="720"/>
        <w:rPr>
          <w:rFonts w:ascii="Arial" w:hAnsi="Arial" w:cs="Arial"/>
          <w:sz w:val="24"/>
          <w:szCs w:val="24"/>
        </w:rPr>
      </w:pPr>
      <w:r w:rsidRPr="00460D4E">
        <w:rPr>
          <w:rFonts w:ascii="Arial" w:hAnsi="Arial" w:cs="Arial"/>
          <w:sz w:val="24"/>
          <w:szCs w:val="24"/>
        </w:rPr>
        <w:lastRenderedPageBreak/>
        <w:t xml:space="preserve">Treasury management also necessitates ensuring procedures are in place to comply with related legislation </w:t>
      </w:r>
      <w:proofErr w:type="gramStart"/>
      <w:r w:rsidRPr="00460D4E">
        <w:rPr>
          <w:rFonts w:ascii="Arial" w:hAnsi="Arial" w:cs="Arial"/>
          <w:sz w:val="24"/>
          <w:szCs w:val="24"/>
        </w:rPr>
        <w:t>e.g.</w:t>
      </w:r>
      <w:proofErr w:type="gramEnd"/>
      <w:r w:rsidRPr="00460D4E">
        <w:rPr>
          <w:rFonts w:ascii="Arial" w:hAnsi="Arial" w:cs="Arial"/>
          <w:sz w:val="24"/>
          <w:szCs w:val="24"/>
        </w:rPr>
        <w:t xml:space="preserve"> the Money Laundering Regulations 2003 and the Proceeds of Crime Act 2002, and the Modern Slavery Act 2015.</w:t>
      </w:r>
    </w:p>
    <w:p w14:paraId="22E4620C" w14:textId="77777777" w:rsidR="00397F09" w:rsidRPr="00460D4E" w:rsidRDefault="00397F09" w:rsidP="00460D4E">
      <w:pPr>
        <w:spacing w:after="0" w:line="276" w:lineRule="auto"/>
        <w:rPr>
          <w:rFonts w:ascii="Arial" w:hAnsi="Arial" w:cs="Arial"/>
          <w:sz w:val="24"/>
          <w:szCs w:val="24"/>
        </w:rPr>
      </w:pPr>
    </w:p>
    <w:p w14:paraId="2E92333D"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Raising of Capital Financ</w:t>
      </w:r>
      <w:r w:rsidR="0041467F" w:rsidRPr="00460D4E">
        <w:rPr>
          <w:rFonts w:ascii="Arial" w:hAnsi="Arial" w:cs="Arial"/>
          <w:sz w:val="24"/>
          <w:szCs w:val="24"/>
        </w:rPr>
        <w:t>e - The policy of the Group</w:t>
      </w:r>
      <w:r w:rsidRPr="00460D4E">
        <w:rPr>
          <w:rFonts w:ascii="Arial" w:hAnsi="Arial" w:cs="Arial"/>
          <w:sz w:val="24"/>
          <w:szCs w:val="24"/>
        </w:rPr>
        <w:t xml:space="preserve"> on borrowing is to minimise the cost while maintaining</w:t>
      </w:r>
      <w:r w:rsidR="0041467F" w:rsidRPr="00460D4E">
        <w:rPr>
          <w:rFonts w:ascii="Arial" w:hAnsi="Arial" w:cs="Arial"/>
          <w:sz w:val="24"/>
          <w:szCs w:val="24"/>
        </w:rPr>
        <w:t xml:space="preserve"> </w:t>
      </w:r>
      <w:r w:rsidR="00754CFA" w:rsidRPr="00460D4E">
        <w:rPr>
          <w:rFonts w:ascii="Arial" w:hAnsi="Arial" w:cs="Arial"/>
          <w:sz w:val="24"/>
          <w:szCs w:val="24"/>
        </w:rPr>
        <w:t xml:space="preserve">both </w:t>
      </w:r>
      <w:r w:rsidR="0041467F" w:rsidRPr="00460D4E">
        <w:rPr>
          <w:rFonts w:ascii="Arial" w:hAnsi="Arial" w:cs="Arial"/>
          <w:sz w:val="24"/>
          <w:szCs w:val="24"/>
        </w:rPr>
        <w:t>the stability of the Group</w:t>
      </w:r>
      <w:r w:rsidRPr="00460D4E">
        <w:rPr>
          <w:rFonts w:ascii="Arial" w:hAnsi="Arial" w:cs="Arial"/>
          <w:sz w:val="24"/>
          <w:szCs w:val="24"/>
        </w:rPr>
        <w:t>’s financial positi</w:t>
      </w:r>
      <w:r w:rsidR="00754CFA" w:rsidRPr="00460D4E">
        <w:rPr>
          <w:rFonts w:ascii="Arial" w:hAnsi="Arial" w:cs="Arial"/>
          <w:sz w:val="24"/>
          <w:szCs w:val="24"/>
        </w:rPr>
        <w:t>on and its integrity</w:t>
      </w:r>
      <w:r w:rsidRPr="00460D4E">
        <w:rPr>
          <w:rFonts w:ascii="Arial" w:hAnsi="Arial" w:cs="Arial"/>
          <w:sz w:val="24"/>
          <w:szCs w:val="24"/>
        </w:rPr>
        <w:t xml:space="preserve">. </w:t>
      </w:r>
    </w:p>
    <w:p w14:paraId="39C46C93" w14:textId="77777777" w:rsidR="00397F09" w:rsidRPr="00460D4E" w:rsidRDefault="00397F09" w:rsidP="00460D4E">
      <w:pPr>
        <w:spacing w:after="0" w:line="276" w:lineRule="auto"/>
        <w:rPr>
          <w:rFonts w:ascii="Arial" w:hAnsi="Arial" w:cs="Arial"/>
          <w:sz w:val="24"/>
          <w:szCs w:val="24"/>
        </w:rPr>
      </w:pPr>
    </w:p>
    <w:p w14:paraId="3F860CD5"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Investment of Surplus Funds - The objective for any lending or investing of funds is to achieve the best possible r</w:t>
      </w:r>
      <w:r w:rsidR="00754CFA" w:rsidRPr="00460D4E">
        <w:rPr>
          <w:rFonts w:ascii="Arial" w:hAnsi="Arial" w:cs="Arial"/>
          <w:sz w:val="24"/>
          <w:szCs w:val="24"/>
        </w:rPr>
        <w:t xml:space="preserve">eturn whilst minimising risk, preserving capital </w:t>
      </w:r>
      <w:proofErr w:type="gramStart"/>
      <w:r w:rsidR="00754CFA" w:rsidRPr="00460D4E">
        <w:rPr>
          <w:rFonts w:ascii="Arial" w:hAnsi="Arial" w:cs="Arial"/>
          <w:sz w:val="24"/>
          <w:szCs w:val="24"/>
        </w:rPr>
        <w:t>value</w:t>
      </w:r>
      <w:proofErr w:type="gramEnd"/>
      <w:r w:rsidR="00754CFA" w:rsidRPr="00460D4E">
        <w:rPr>
          <w:rFonts w:ascii="Arial" w:hAnsi="Arial" w:cs="Arial"/>
          <w:sz w:val="24"/>
          <w:szCs w:val="24"/>
        </w:rPr>
        <w:t xml:space="preserve"> and protecting the good name and values of the University.</w:t>
      </w:r>
    </w:p>
    <w:p w14:paraId="14A72185" w14:textId="77777777" w:rsidR="00397F09" w:rsidRPr="00460D4E" w:rsidRDefault="00397F09" w:rsidP="00460D4E">
      <w:pPr>
        <w:spacing w:after="0" w:line="276" w:lineRule="auto"/>
        <w:rPr>
          <w:rFonts w:ascii="Arial" w:hAnsi="Arial" w:cs="Arial"/>
          <w:sz w:val="24"/>
          <w:szCs w:val="24"/>
        </w:rPr>
      </w:pPr>
    </w:p>
    <w:p w14:paraId="6ABDB27F" w14:textId="1DAB7302"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The overriding</w:t>
      </w:r>
      <w:r w:rsidR="00754CFA" w:rsidRPr="00460D4E">
        <w:rPr>
          <w:rFonts w:ascii="Arial" w:hAnsi="Arial" w:cs="Arial"/>
          <w:sz w:val="24"/>
          <w:szCs w:val="24"/>
        </w:rPr>
        <w:t xml:space="preserve"> principle being the minimising</w:t>
      </w:r>
      <w:r w:rsidRPr="00460D4E">
        <w:rPr>
          <w:rFonts w:ascii="Arial" w:hAnsi="Arial" w:cs="Arial"/>
          <w:sz w:val="24"/>
          <w:szCs w:val="24"/>
        </w:rPr>
        <w:t xml:space="preserve"> of risk </w:t>
      </w:r>
      <w:r w:rsidR="00754CFA" w:rsidRPr="00460D4E">
        <w:rPr>
          <w:rFonts w:ascii="Arial" w:hAnsi="Arial" w:cs="Arial"/>
          <w:sz w:val="24"/>
          <w:szCs w:val="24"/>
        </w:rPr>
        <w:t xml:space="preserve">and adherence to </w:t>
      </w:r>
      <w:r w:rsidR="007B02D2" w:rsidRPr="00460D4E">
        <w:rPr>
          <w:rFonts w:ascii="Arial" w:hAnsi="Arial" w:cs="Arial"/>
          <w:sz w:val="24"/>
          <w:szCs w:val="24"/>
        </w:rPr>
        <w:t>u</w:t>
      </w:r>
      <w:r w:rsidR="00754CFA" w:rsidRPr="00460D4E">
        <w:rPr>
          <w:rFonts w:ascii="Arial" w:hAnsi="Arial" w:cs="Arial"/>
          <w:sz w:val="24"/>
          <w:szCs w:val="24"/>
        </w:rPr>
        <w:t xml:space="preserve">niversity values </w:t>
      </w:r>
      <w:r w:rsidRPr="00460D4E">
        <w:rPr>
          <w:rFonts w:ascii="Arial" w:hAnsi="Arial" w:cs="Arial"/>
          <w:sz w:val="24"/>
          <w:szCs w:val="24"/>
        </w:rPr>
        <w:t>over the maximising of return.</w:t>
      </w:r>
    </w:p>
    <w:p w14:paraId="0A75A169" w14:textId="77777777" w:rsidR="00397F09" w:rsidRPr="00460D4E" w:rsidRDefault="00397F09" w:rsidP="00460D4E">
      <w:pPr>
        <w:spacing w:after="0" w:line="276" w:lineRule="auto"/>
        <w:rPr>
          <w:rFonts w:ascii="Arial" w:hAnsi="Arial" w:cs="Arial"/>
          <w:sz w:val="24"/>
          <w:szCs w:val="24"/>
        </w:rPr>
      </w:pPr>
    </w:p>
    <w:p w14:paraId="5DBDE281" w14:textId="7FC27D34"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The </w:t>
      </w:r>
      <w:r w:rsidR="007B02D2" w:rsidRPr="00553166">
        <w:rPr>
          <w:rFonts w:ascii="Arial" w:hAnsi="Arial" w:cs="Arial"/>
          <w:sz w:val="24"/>
          <w:szCs w:val="24"/>
        </w:rPr>
        <w:t>Executive</w:t>
      </w:r>
      <w:r w:rsidR="007B02D2" w:rsidRPr="00460D4E">
        <w:rPr>
          <w:rFonts w:ascii="Arial" w:hAnsi="Arial" w:cs="Arial"/>
          <w:sz w:val="24"/>
          <w:szCs w:val="24"/>
        </w:rPr>
        <w:t xml:space="preserve"> </w:t>
      </w:r>
      <w:r w:rsidRPr="00460D4E">
        <w:rPr>
          <w:rFonts w:ascii="Arial" w:hAnsi="Arial" w:cs="Arial"/>
          <w:sz w:val="24"/>
          <w:szCs w:val="24"/>
        </w:rPr>
        <w:t>Director of Finance and the designated members of staff (in Appendix A) are authorised by the Strategy and Finance Committee to:</w:t>
      </w:r>
    </w:p>
    <w:p w14:paraId="58A752E4" w14:textId="77777777" w:rsidR="00397F09" w:rsidRPr="00460D4E" w:rsidRDefault="00397F09" w:rsidP="00460D4E">
      <w:pPr>
        <w:spacing w:after="0" w:line="276" w:lineRule="auto"/>
        <w:rPr>
          <w:rFonts w:ascii="Arial" w:hAnsi="Arial" w:cs="Arial"/>
          <w:sz w:val="24"/>
          <w:szCs w:val="24"/>
        </w:rPr>
      </w:pPr>
    </w:p>
    <w:p w14:paraId="2623E17A" w14:textId="2773CE42" w:rsidR="00397F09" w:rsidRPr="00460D4E" w:rsidRDefault="00397F09" w:rsidP="00460D4E">
      <w:pPr>
        <w:numPr>
          <w:ilvl w:val="0"/>
          <w:numId w:val="3"/>
        </w:numPr>
        <w:tabs>
          <w:tab w:val="num" w:pos="2160"/>
        </w:tabs>
        <w:spacing w:after="0" w:line="276" w:lineRule="auto"/>
        <w:ind w:left="2160" w:hanging="720"/>
        <w:rPr>
          <w:rFonts w:ascii="Arial" w:hAnsi="Arial" w:cs="Arial"/>
          <w:sz w:val="24"/>
          <w:szCs w:val="24"/>
        </w:rPr>
      </w:pPr>
      <w:r w:rsidRPr="00460D4E">
        <w:rPr>
          <w:rFonts w:ascii="Arial" w:hAnsi="Arial" w:cs="Arial"/>
          <w:sz w:val="24"/>
          <w:szCs w:val="24"/>
        </w:rPr>
        <w:t>arrange the investment of</w:t>
      </w:r>
      <w:r w:rsidR="00D96D4D" w:rsidRPr="00460D4E">
        <w:rPr>
          <w:rFonts w:ascii="Arial" w:hAnsi="Arial" w:cs="Arial"/>
          <w:sz w:val="24"/>
          <w:szCs w:val="24"/>
        </w:rPr>
        <w:t xml:space="preserve"> surplus funds of the Group</w:t>
      </w:r>
      <w:r w:rsidRPr="00460D4E">
        <w:rPr>
          <w:rFonts w:ascii="Arial" w:hAnsi="Arial" w:cs="Arial"/>
          <w:sz w:val="24"/>
          <w:szCs w:val="24"/>
        </w:rPr>
        <w:t xml:space="preserve">, to a maximum </w:t>
      </w:r>
      <w:r w:rsidRPr="00553166">
        <w:rPr>
          <w:rFonts w:ascii="Arial" w:hAnsi="Arial" w:cs="Arial"/>
          <w:sz w:val="24"/>
          <w:szCs w:val="24"/>
        </w:rPr>
        <w:t xml:space="preserve">of </w:t>
      </w:r>
      <w:r w:rsidR="007B02D2" w:rsidRPr="00553166">
        <w:rPr>
          <w:rFonts w:ascii="Arial" w:hAnsi="Arial" w:cs="Arial"/>
          <w:sz w:val="24"/>
          <w:szCs w:val="24"/>
        </w:rPr>
        <w:t>£10,000,000</w:t>
      </w:r>
      <w:r w:rsidR="007B02D2" w:rsidRPr="00460D4E">
        <w:rPr>
          <w:rFonts w:ascii="Arial" w:hAnsi="Arial" w:cs="Arial"/>
          <w:sz w:val="24"/>
          <w:szCs w:val="24"/>
        </w:rPr>
        <w:t xml:space="preserve"> </w:t>
      </w:r>
      <w:r w:rsidRPr="00460D4E">
        <w:rPr>
          <w:rFonts w:ascii="Arial" w:hAnsi="Arial" w:cs="Arial"/>
          <w:sz w:val="24"/>
          <w:szCs w:val="24"/>
        </w:rPr>
        <w:t xml:space="preserve">with any one of the organisations </w:t>
      </w:r>
      <w:r w:rsidR="0041308A" w:rsidRPr="00460D4E">
        <w:rPr>
          <w:rFonts w:ascii="Arial" w:hAnsi="Arial" w:cs="Arial"/>
          <w:sz w:val="24"/>
          <w:szCs w:val="24"/>
        </w:rPr>
        <w:t xml:space="preserve">which meet the criteria set out in </w:t>
      </w:r>
      <w:r w:rsidRPr="00460D4E">
        <w:rPr>
          <w:rFonts w:ascii="Arial" w:hAnsi="Arial" w:cs="Arial"/>
          <w:sz w:val="24"/>
          <w:szCs w:val="24"/>
        </w:rPr>
        <w:t>Appendix B</w:t>
      </w:r>
      <w:r w:rsidR="0041308A" w:rsidRPr="00460D4E">
        <w:rPr>
          <w:rFonts w:ascii="Arial" w:hAnsi="Arial" w:cs="Arial"/>
          <w:sz w:val="24"/>
          <w:szCs w:val="24"/>
        </w:rPr>
        <w:t xml:space="preserve"> and in asset classes </w:t>
      </w:r>
      <w:r w:rsidR="006B1899" w:rsidRPr="00460D4E">
        <w:rPr>
          <w:rFonts w:ascii="Arial" w:hAnsi="Arial" w:cs="Arial"/>
          <w:sz w:val="24"/>
          <w:szCs w:val="24"/>
        </w:rPr>
        <w:t>with a maximum</w:t>
      </w:r>
      <w:r w:rsidR="0041308A" w:rsidRPr="00460D4E">
        <w:rPr>
          <w:rFonts w:ascii="Arial" w:hAnsi="Arial" w:cs="Arial"/>
          <w:sz w:val="24"/>
          <w:szCs w:val="24"/>
        </w:rPr>
        <w:t xml:space="preserve"> duration as set out in Appendix C</w:t>
      </w:r>
      <w:r w:rsidRPr="00460D4E">
        <w:rPr>
          <w:rFonts w:ascii="Arial" w:hAnsi="Arial" w:cs="Arial"/>
          <w:sz w:val="24"/>
          <w:szCs w:val="24"/>
        </w:rPr>
        <w:t>.</w:t>
      </w:r>
    </w:p>
    <w:p w14:paraId="25197FD6" w14:textId="69100F81" w:rsidR="003D028A" w:rsidRDefault="00397F09" w:rsidP="00460D4E">
      <w:pPr>
        <w:numPr>
          <w:ilvl w:val="0"/>
          <w:numId w:val="3"/>
        </w:numPr>
        <w:tabs>
          <w:tab w:val="num" w:pos="2160"/>
        </w:tabs>
        <w:spacing w:after="0" w:line="276" w:lineRule="auto"/>
        <w:ind w:left="2160" w:hanging="720"/>
        <w:rPr>
          <w:rFonts w:ascii="Arial" w:hAnsi="Arial" w:cs="Arial"/>
          <w:sz w:val="24"/>
          <w:szCs w:val="24"/>
        </w:rPr>
      </w:pPr>
      <w:r w:rsidRPr="00460D4E">
        <w:rPr>
          <w:rFonts w:ascii="Arial" w:hAnsi="Arial" w:cs="Arial"/>
          <w:sz w:val="24"/>
          <w:szCs w:val="24"/>
        </w:rPr>
        <w:t>borrow funds subject to strategic approval by the Strategy and Finance Committee and Board of Governors.</w:t>
      </w:r>
    </w:p>
    <w:p w14:paraId="29B3DCEE" w14:textId="77777777" w:rsidR="00460D4E" w:rsidRPr="00460D4E" w:rsidRDefault="00460D4E" w:rsidP="00460D4E">
      <w:pPr>
        <w:spacing w:after="0" w:line="276" w:lineRule="auto"/>
        <w:ind w:left="1440"/>
        <w:rPr>
          <w:rFonts w:ascii="Arial" w:hAnsi="Arial" w:cs="Arial"/>
          <w:sz w:val="24"/>
          <w:szCs w:val="24"/>
        </w:rPr>
      </w:pPr>
    </w:p>
    <w:p w14:paraId="5E49FEEB" w14:textId="77777777" w:rsidR="00397F09" w:rsidRPr="00460D4E" w:rsidRDefault="00397F09" w:rsidP="00460D4E">
      <w:pPr>
        <w:pStyle w:val="Heading2"/>
      </w:pPr>
      <w:r w:rsidRPr="00460D4E">
        <w:t>3</w:t>
      </w:r>
      <w:r w:rsidRPr="00460D4E">
        <w:tab/>
        <w:t>Formulation of Treasury Management Strategy</w:t>
      </w:r>
    </w:p>
    <w:p w14:paraId="57C576D4" w14:textId="77777777" w:rsidR="00397F09" w:rsidRPr="00460D4E" w:rsidRDefault="00397F09" w:rsidP="00460D4E">
      <w:pPr>
        <w:spacing w:after="0" w:line="276" w:lineRule="auto"/>
        <w:rPr>
          <w:rFonts w:ascii="Arial" w:hAnsi="Arial" w:cs="Arial"/>
          <w:sz w:val="24"/>
          <w:szCs w:val="24"/>
        </w:rPr>
      </w:pPr>
    </w:p>
    <w:p w14:paraId="4D6C8DB7" w14:textId="77777777" w:rsidR="00397F09" w:rsidRPr="00460D4E" w:rsidRDefault="00D96D4D" w:rsidP="00460D4E">
      <w:pPr>
        <w:spacing w:after="0" w:line="276" w:lineRule="auto"/>
        <w:ind w:left="720"/>
        <w:rPr>
          <w:rFonts w:ascii="Arial" w:hAnsi="Arial" w:cs="Arial"/>
          <w:sz w:val="24"/>
          <w:szCs w:val="24"/>
        </w:rPr>
      </w:pPr>
      <w:r w:rsidRPr="00460D4E">
        <w:rPr>
          <w:rFonts w:ascii="Arial" w:hAnsi="Arial" w:cs="Arial"/>
          <w:sz w:val="24"/>
          <w:szCs w:val="24"/>
        </w:rPr>
        <w:t>The Group</w:t>
      </w:r>
      <w:r w:rsidR="00397F09" w:rsidRPr="00460D4E">
        <w:rPr>
          <w:rFonts w:ascii="Arial" w:hAnsi="Arial" w:cs="Arial"/>
          <w:sz w:val="24"/>
          <w:szCs w:val="24"/>
        </w:rPr>
        <w:t xml:space="preserve">’s Treasury Management requirements are determined in the annual financial budget prepared by the </w:t>
      </w:r>
      <w:r w:rsidR="008F0E42" w:rsidRPr="00460D4E">
        <w:rPr>
          <w:rFonts w:ascii="Arial" w:hAnsi="Arial" w:cs="Arial"/>
          <w:sz w:val="24"/>
          <w:szCs w:val="24"/>
        </w:rPr>
        <w:t xml:space="preserve">Executive </w:t>
      </w:r>
      <w:r w:rsidR="00397F09" w:rsidRPr="00460D4E">
        <w:rPr>
          <w:rFonts w:ascii="Arial" w:hAnsi="Arial" w:cs="Arial"/>
          <w:sz w:val="24"/>
          <w:szCs w:val="24"/>
        </w:rPr>
        <w:t>Director of Finance and approved by the Strategy and Finance Committee</w:t>
      </w:r>
      <w:r w:rsidR="00397F09" w:rsidRPr="00460D4E" w:rsidDel="00845353">
        <w:rPr>
          <w:rFonts w:ascii="Arial" w:hAnsi="Arial" w:cs="Arial"/>
          <w:sz w:val="24"/>
          <w:szCs w:val="24"/>
        </w:rPr>
        <w:t xml:space="preserve"> </w:t>
      </w:r>
      <w:r w:rsidR="00397F09" w:rsidRPr="00460D4E">
        <w:rPr>
          <w:rFonts w:ascii="Arial" w:hAnsi="Arial" w:cs="Arial"/>
          <w:sz w:val="24"/>
          <w:szCs w:val="24"/>
        </w:rPr>
        <w:t>and Boar</w:t>
      </w:r>
      <w:r w:rsidRPr="00460D4E">
        <w:rPr>
          <w:rFonts w:ascii="Arial" w:hAnsi="Arial" w:cs="Arial"/>
          <w:sz w:val="24"/>
          <w:szCs w:val="24"/>
        </w:rPr>
        <w:t>d of Governors of the Group</w:t>
      </w:r>
      <w:r w:rsidR="00397F09" w:rsidRPr="00460D4E">
        <w:rPr>
          <w:rFonts w:ascii="Arial" w:hAnsi="Arial" w:cs="Arial"/>
          <w:sz w:val="24"/>
          <w:szCs w:val="24"/>
        </w:rPr>
        <w:t>.</w:t>
      </w:r>
    </w:p>
    <w:p w14:paraId="58857222" w14:textId="77777777" w:rsidR="00397F09" w:rsidRPr="00460D4E" w:rsidRDefault="00397F09" w:rsidP="00460D4E">
      <w:pPr>
        <w:spacing w:after="0" w:line="276" w:lineRule="auto"/>
        <w:ind w:left="720" w:hanging="720"/>
        <w:rPr>
          <w:rFonts w:ascii="Arial" w:hAnsi="Arial" w:cs="Arial"/>
          <w:sz w:val="24"/>
          <w:szCs w:val="24"/>
        </w:rPr>
      </w:pPr>
    </w:p>
    <w:p w14:paraId="1278553A"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The </w:t>
      </w:r>
      <w:r w:rsidR="008F0E42" w:rsidRPr="00460D4E">
        <w:rPr>
          <w:rFonts w:ascii="Arial" w:hAnsi="Arial" w:cs="Arial"/>
          <w:sz w:val="24"/>
          <w:szCs w:val="24"/>
        </w:rPr>
        <w:t xml:space="preserve">Executive </w:t>
      </w:r>
      <w:r w:rsidRPr="00460D4E">
        <w:rPr>
          <w:rFonts w:ascii="Arial" w:hAnsi="Arial" w:cs="Arial"/>
          <w:sz w:val="24"/>
          <w:szCs w:val="24"/>
        </w:rPr>
        <w:t>Director of Finance will prepare annually for the approval of the Strategy and Finance Committee and Boar</w:t>
      </w:r>
      <w:r w:rsidR="00D96D4D" w:rsidRPr="00460D4E">
        <w:rPr>
          <w:rFonts w:ascii="Arial" w:hAnsi="Arial" w:cs="Arial"/>
          <w:sz w:val="24"/>
          <w:szCs w:val="24"/>
        </w:rPr>
        <w:t>d of Governors of the Group</w:t>
      </w:r>
      <w:r w:rsidRPr="00460D4E">
        <w:rPr>
          <w:rFonts w:ascii="Arial" w:hAnsi="Arial" w:cs="Arial"/>
          <w:sz w:val="24"/>
          <w:szCs w:val="24"/>
        </w:rPr>
        <w:t>:</w:t>
      </w:r>
    </w:p>
    <w:p w14:paraId="2D6A4180" w14:textId="77777777" w:rsidR="00397F09" w:rsidRPr="00460D4E" w:rsidRDefault="00397F09" w:rsidP="00460D4E">
      <w:pPr>
        <w:spacing w:after="0" w:line="276" w:lineRule="auto"/>
        <w:rPr>
          <w:rFonts w:ascii="Arial" w:hAnsi="Arial" w:cs="Arial"/>
          <w:sz w:val="24"/>
          <w:szCs w:val="24"/>
        </w:rPr>
      </w:pPr>
    </w:p>
    <w:p w14:paraId="605FA483" w14:textId="77777777" w:rsidR="00397F09" w:rsidRPr="00460D4E" w:rsidRDefault="00397F09" w:rsidP="00460D4E">
      <w:pPr>
        <w:numPr>
          <w:ilvl w:val="0"/>
          <w:numId w:val="1"/>
        </w:numPr>
        <w:spacing w:after="0" w:line="276" w:lineRule="auto"/>
        <w:ind w:left="2160"/>
        <w:rPr>
          <w:rFonts w:ascii="Arial" w:hAnsi="Arial" w:cs="Arial"/>
          <w:sz w:val="24"/>
          <w:szCs w:val="24"/>
        </w:rPr>
      </w:pPr>
      <w:r w:rsidRPr="00460D4E">
        <w:rPr>
          <w:rFonts w:ascii="Arial" w:hAnsi="Arial" w:cs="Arial"/>
          <w:sz w:val="24"/>
          <w:szCs w:val="24"/>
        </w:rPr>
        <w:t>A forecast of surplus monies and loan repayment requirements (if any) for the forthcoming financial year; and</w:t>
      </w:r>
    </w:p>
    <w:p w14:paraId="6FE10C62" w14:textId="77777777" w:rsidR="00397F09" w:rsidRPr="00460D4E" w:rsidRDefault="00397F09" w:rsidP="00460D4E">
      <w:pPr>
        <w:numPr>
          <w:ilvl w:val="0"/>
          <w:numId w:val="1"/>
        </w:numPr>
        <w:spacing w:after="0" w:line="276" w:lineRule="auto"/>
        <w:ind w:left="2160"/>
        <w:rPr>
          <w:rFonts w:ascii="Arial" w:hAnsi="Arial" w:cs="Arial"/>
          <w:sz w:val="24"/>
          <w:szCs w:val="24"/>
        </w:rPr>
      </w:pPr>
      <w:r w:rsidRPr="00460D4E">
        <w:rPr>
          <w:rFonts w:ascii="Arial" w:hAnsi="Arial" w:cs="Arial"/>
          <w:sz w:val="24"/>
          <w:szCs w:val="24"/>
        </w:rPr>
        <w:t>A str</w:t>
      </w:r>
      <w:r w:rsidR="00D96D4D" w:rsidRPr="00460D4E">
        <w:rPr>
          <w:rFonts w:ascii="Arial" w:hAnsi="Arial" w:cs="Arial"/>
          <w:sz w:val="24"/>
          <w:szCs w:val="24"/>
        </w:rPr>
        <w:t>ategy for funding the Group</w:t>
      </w:r>
      <w:r w:rsidRPr="00460D4E">
        <w:rPr>
          <w:rFonts w:ascii="Arial" w:hAnsi="Arial" w:cs="Arial"/>
          <w:sz w:val="24"/>
          <w:szCs w:val="24"/>
        </w:rPr>
        <w:t>’s capital finance proposals (if any) and investing surplus cash for the period covered by the forecast.</w:t>
      </w:r>
    </w:p>
    <w:p w14:paraId="27A4FC12" w14:textId="77777777" w:rsidR="00397F09" w:rsidRPr="00460D4E" w:rsidRDefault="00397F09" w:rsidP="00460D4E">
      <w:pPr>
        <w:spacing w:after="0" w:line="276" w:lineRule="auto"/>
        <w:rPr>
          <w:rFonts w:ascii="Arial" w:hAnsi="Arial" w:cs="Arial"/>
          <w:sz w:val="24"/>
          <w:szCs w:val="24"/>
        </w:rPr>
      </w:pPr>
    </w:p>
    <w:p w14:paraId="7F670ABD"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In preparing the strategy the </w:t>
      </w:r>
      <w:r w:rsidR="008F0E42" w:rsidRPr="00460D4E">
        <w:rPr>
          <w:rFonts w:ascii="Arial" w:hAnsi="Arial" w:cs="Arial"/>
          <w:sz w:val="24"/>
          <w:szCs w:val="24"/>
        </w:rPr>
        <w:t xml:space="preserve">Executive </w:t>
      </w:r>
      <w:r w:rsidRPr="00460D4E">
        <w:rPr>
          <w:rFonts w:ascii="Arial" w:hAnsi="Arial" w:cs="Arial"/>
          <w:sz w:val="24"/>
          <w:szCs w:val="24"/>
        </w:rPr>
        <w:t>Director of Finance will have regard to:</w:t>
      </w:r>
    </w:p>
    <w:p w14:paraId="2F13EA73" w14:textId="77777777" w:rsidR="00397F09" w:rsidRPr="00460D4E" w:rsidRDefault="00397F09" w:rsidP="00460D4E">
      <w:pPr>
        <w:spacing w:after="0" w:line="276" w:lineRule="auto"/>
        <w:rPr>
          <w:rFonts w:ascii="Arial" w:hAnsi="Arial" w:cs="Arial"/>
          <w:sz w:val="24"/>
          <w:szCs w:val="24"/>
        </w:rPr>
      </w:pPr>
    </w:p>
    <w:p w14:paraId="2A1605EF" w14:textId="7F8E3AAE" w:rsidR="00397F09" w:rsidRPr="00460D4E" w:rsidRDefault="00397F09" w:rsidP="00460D4E">
      <w:pPr>
        <w:numPr>
          <w:ilvl w:val="0"/>
          <w:numId w:val="1"/>
        </w:numPr>
        <w:tabs>
          <w:tab w:val="num" w:pos="2160"/>
        </w:tabs>
        <w:spacing w:after="0" w:line="276" w:lineRule="auto"/>
        <w:ind w:left="2160"/>
        <w:rPr>
          <w:rFonts w:ascii="Arial" w:hAnsi="Arial" w:cs="Arial"/>
          <w:sz w:val="24"/>
          <w:szCs w:val="24"/>
        </w:rPr>
      </w:pPr>
      <w:r w:rsidRPr="00460D4E">
        <w:rPr>
          <w:rFonts w:ascii="Arial" w:hAnsi="Arial" w:cs="Arial"/>
          <w:sz w:val="24"/>
          <w:szCs w:val="24"/>
        </w:rPr>
        <w:t>the maintenance of a stable finan</w:t>
      </w:r>
      <w:r w:rsidR="00D96D4D" w:rsidRPr="00460D4E">
        <w:rPr>
          <w:rFonts w:ascii="Arial" w:hAnsi="Arial" w:cs="Arial"/>
          <w:sz w:val="24"/>
          <w:szCs w:val="24"/>
        </w:rPr>
        <w:t>cial position for the Group</w:t>
      </w:r>
      <w:r w:rsidR="007B02D2" w:rsidRPr="00460D4E">
        <w:rPr>
          <w:rFonts w:ascii="Arial" w:hAnsi="Arial" w:cs="Arial"/>
          <w:sz w:val="24"/>
          <w:szCs w:val="24"/>
        </w:rPr>
        <w:t>.</w:t>
      </w:r>
    </w:p>
    <w:p w14:paraId="3C951FBC" w14:textId="3164D36D" w:rsidR="00397F09" w:rsidRPr="00460D4E" w:rsidRDefault="00397F09" w:rsidP="00460D4E">
      <w:pPr>
        <w:numPr>
          <w:ilvl w:val="0"/>
          <w:numId w:val="1"/>
        </w:numPr>
        <w:tabs>
          <w:tab w:val="num" w:pos="2160"/>
        </w:tabs>
        <w:spacing w:after="0" w:line="276" w:lineRule="auto"/>
        <w:ind w:left="2160"/>
        <w:rPr>
          <w:rFonts w:ascii="Arial" w:hAnsi="Arial" w:cs="Arial"/>
          <w:sz w:val="24"/>
          <w:szCs w:val="24"/>
        </w:rPr>
      </w:pPr>
      <w:r w:rsidRPr="00460D4E">
        <w:rPr>
          <w:rFonts w:ascii="Arial" w:hAnsi="Arial" w:cs="Arial"/>
          <w:sz w:val="24"/>
          <w:szCs w:val="24"/>
        </w:rPr>
        <w:lastRenderedPageBreak/>
        <w:t>the current level of interest rates and forecasts of future changes in interest rates</w:t>
      </w:r>
      <w:r w:rsidR="007B02D2" w:rsidRPr="00460D4E">
        <w:rPr>
          <w:rFonts w:ascii="Arial" w:hAnsi="Arial" w:cs="Arial"/>
          <w:sz w:val="24"/>
          <w:szCs w:val="24"/>
        </w:rPr>
        <w:t>.</w:t>
      </w:r>
    </w:p>
    <w:p w14:paraId="56579D9B" w14:textId="3FAB6D6C" w:rsidR="00397F09" w:rsidRPr="00460D4E" w:rsidRDefault="00084CB6" w:rsidP="00460D4E">
      <w:pPr>
        <w:numPr>
          <w:ilvl w:val="0"/>
          <w:numId w:val="1"/>
        </w:numPr>
        <w:tabs>
          <w:tab w:val="num" w:pos="2160"/>
        </w:tabs>
        <w:spacing w:after="0" w:line="276" w:lineRule="auto"/>
        <w:ind w:left="2160"/>
        <w:rPr>
          <w:rFonts w:ascii="Arial" w:hAnsi="Arial" w:cs="Arial"/>
          <w:sz w:val="24"/>
          <w:szCs w:val="24"/>
        </w:rPr>
      </w:pPr>
      <w:r w:rsidRPr="00460D4E">
        <w:rPr>
          <w:rFonts w:ascii="Arial" w:hAnsi="Arial" w:cs="Arial"/>
          <w:sz w:val="24"/>
          <w:szCs w:val="24"/>
        </w:rPr>
        <w:t xml:space="preserve">the values of the University which are stated within </w:t>
      </w:r>
      <w:r w:rsidR="007B02D2" w:rsidRPr="00460D4E">
        <w:rPr>
          <w:rFonts w:ascii="Arial" w:hAnsi="Arial" w:cs="Arial"/>
          <w:sz w:val="24"/>
          <w:szCs w:val="24"/>
        </w:rPr>
        <w:t>u</w:t>
      </w:r>
      <w:r w:rsidRPr="00460D4E">
        <w:rPr>
          <w:rFonts w:ascii="Arial" w:hAnsi="Arial" w:cs="Arial"/>
          <w:sz w:val="24"/>
          <w:szCs w:val="24"/>
        </w:rPr>
        <w:t xml:space="preserve">niversity planning documents, </w:t>
      </w:r>
      <w:proofErr w:type="gramStart"/>
      <w:r w:rsidR="00397F09" w:rsidRPr="00460D4E">
        <w:rPr>
          <w:rFonts w:ascii="Arial" w:hAnsi="Arial" w:cs="Arial"/>
          <w:sz w:val="24"/>
          <w:szCs w:val="24"/>
        </w:rPr>
        <w:t>e.g.</w:t>
      </w:r>
      <w:proofErr w:type="gramEnd"/>
      <w:r w:rsidR="00397F09" w:rsidRPr="00460D4E">
        <w:rPr>
          <w:rFonts w:ascii="Arial" w:hAnsi="Arial" w:cs="Arial"/>
          <w:sz w:val="24"/>
          <w:szCs w:val="24"/>
        </w:rPr>
        <w:t xml:space="preserve"> the </w:t>
      </w:r>
      <w:r w:rsidRPr="00460D4E">
        <w:rPr>
          <w:rFonts w:ascii="Arial" w:hAnsi="Arial" w:cs="Arial"/>
          <w:sz w:val="24"/>
          <w:szCs w:val="24"/>
        </w:rPr>
        <w:t>Strategic Framework within Governance documents</w:t>
      </w:r>
      <w:r w:rsidR="007B02D2" w:rsidRPr="00460D4E">
        <w:rPr>
          <w:rFonts w:ascii="Arial" w:hAnsi="Arial" w:cs="Arial"/>
          <w:sz w:val="24"/>
          <w:szCs w:val="24"/>
        </w:rPr>
        <w:t>.</w:t>
      </w:r>
    </w:p>
    <w:p w14:paraId="71209239" w14:textId="2E91A213" w:rsidR="00397F09" w:rsidRPr="00460D4E" w:rsidRDefault="00397F09" w:rsidP="00460D4E">
      <w:pPr>
        <w:numPr>
          <w:ilvl w:val="0"/>
          <w:numId w:val="1"/>
        </w:numPr>
        <w:tabs>
          <w:tab w:val="num" w:pos="2160"/>
        </w:tabs>
        <w:spacing w:after="0" w:line="276" w:lineRule="auto"/>
        <w:ind w:left="2160"/>
        <w:rPr>
          <w:rFonts w:ascii="Arial" w:hAnsi="Arial" w:cs="Arial"/>
          <w:sz w:val="24"/>
          <w:szCs w:val="24"/>
        </w:rPr>
      </w:pPr>
      <w:r w:rsidRPr="00460D4E">
        <w:rPr>
          <w:rFonts w:ascii="Arial" w:hAnsi="Arial" w:cs="Arial"/>
          <w:sz w:val="24"/>
          <w:szCs w:val="24"/>
        </w:rPr>
        <w:t>the aggregate of all funds, loans and acc</w:t>
      </w:r>
      <w:r w:rsidR="00D96D4D" w:rsidRPr="00460D4E">
        <w:rPr>
          <w:rFonts w:ascii="Arial" w:hAnsi="Arial" w:cs="Arial"/>
          <w:sz w:val="24"/>
          <w:szCs w:val="24"/>
        </w:rPr>
        <w:t>ounts operated by the Group</w:t>
      </w:r>
      <w:r w:rsidR="007B02D2" w:rsidRPr="00460D4E">
        <w:rPr>
          <w:rFonts w:ascii="Arial" w:hAnsi="Arial" w:cs="Arial"/>
          <w:sz w:val="24"/>
          <w:szCs w:val="24"/>
        </w:rPr>
        <w:t>.</w:t>
      </w:r>
    </w:p>
    <w:p w14:paraId="09967598" w14:textId="77777777" w:rsidR="00397F09" w:rsidRPr="00460D4E" w:rsidRDefault="00397F09" w:rsidP="00460D4E">
      <w:pPr>
        <w:spacing w:after="0" w:line="276" w:lineRule="auto"/>
        <w:ind w:left="720"/>
        <w:rPr>
          <w:rFonts w:ascii="Arial" w:hAnsi="Arial" w:cs="Arial"/>
          <w:sz w:val="24"/>
          <w:szCs w:val="24"/>
        </w:rPr>
      </w:pPr>
    </w:p>
    <w:p w14:paraId="6C29F672" w14:textId="3601D4CB"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Based on the annual forecast the </w:t>
      </w:r>
      <w:r w:rsidR="008F0E42" w:rsidRPr="00460D4E">
        <w:rPr>
          <w:rFonts w:ascii="Arial" w:hAnsi="Arial" w:cs="Arial"/>
          <w:sz w:val="24"/>
          <w:szCs w:val="24"/>
        </w:rPr>
        <w:t xml:space="preserve">Executive </w:t>
      </w:r>
      <w:r w:rsidRPr="00460D4E">
        <w:rPr>
          <w:rFonts w:ascii="Arial" w:hAnsi="Arial" w:cs="Arial"/>
          <w:sz w:val="24"/>
          <w:szCs w:val="24"/>
        </w:rPr>
        <w:t xml:space="preserve">Director of Finance will prepare annual rolling forecasts for the current year of the </w:t>
      </w:r>
      <w:r w:rsidR="007B02D2" w:rsidRPr="00460D4E">
        <w:rPr>
          <w:rFonts w:ascii="Arial" w:hAnsi="Arial" w:cs="Arial"/>
          <w:sz w:val="24"/>
          <w:szCs w:val="24"/>
        </w:rPr>
        <w:t>short-term</w:t>
      </w:r>
      <w:r w:rsidRPr="00460D4E">
        <w:rPr>
          <w:rFonts w:ascii="Arial" w:hAnsi="Arial" w:cs="Arial"/>
          <w:sz w:val="24"/>
          <w:szCs w:val="24"/>
        </w:rPr>
        <w:t xml:space="preserve"> surplus cash for the purpose of applying the strategy on a </w:t>
      </w:r>
      <w:proofErr w:type="gramStart"/>
      <w:r w:rsidRPr="00460D4E">
        <w:rPr>
          <w:rFonts w:ascii="Arial" w:hAnsi="Arial" w:cs="Arial"/>
          <w:sz w:val="24"/>
          <w:szCs w:val="24"/>
        </w:rPr>
        <w:t>day to day</w:t>
      </w:r>
      <w:proofErr w:type="gramEnd"/>
      <w:r w:rsidRPr="00460D4E">
        <w:rPr>
          <w:rFonts w:ascii="Arial" w:hAnsi="Arial" w:cs="Arial"/>
          <w:sz w:val="24"/>
          <w:szCs w:val="24"/>
        </w:rPr>
        <w:t xml:space="preserve"> basis. When applicable the </w:t>
      </w:r>
      <w:r w:rsidR="008F0E42" w:rsidRPr="00460D4E">
        <w:rPr>
          <w:rFonts w:ascii="Arial" w:hAnsi="Arial" w:cs="Arial"/>
          <w:sz w:val="24"/>
          <w:szCs w:val="24"/>
        </w:rPr>
        <w:t xml:space="preserve">Executive </w:t>
      </w:r>
      <w:r w:rsidRPr="00460D4E">
        <w:rPr>
          <w:rFonts w:ascii="Arial" w:hAnsi="Arial" w:cs="Arial"/>
          <w:sz w:val="24"/>
          <w:szCs w:val="24"/>
        </w:rPr>
        <w:t>Director of Finance will recommend amendments to the strategy to the Strategy and Finance Committee and Board of Governors.</w:t>
      </w:r>
    </w:p>
    <w:p w14:paraId="20E07664" w14:textId="77777777" w:rsidR="00397F09" w:rsidRPr="00460D4E" w:rsidRDefault="00397F09" w:rsidP="00460D4E">
      <w:pPr>
        <w:spacing w:after="0" w:line="276" w:lineRule="auto"/>
        <w:rPr>
          <w:rFonts w:ascii="Arial" w:hAnsi="Arial" w:cs="Arial"/>
          <w:sz w:val="24"/>
          <w:szCs w:val="24"/>
        </w:rPr>
      </w:pPr>
    </w:p>
    <w:p w14:paraId="5E2AA149"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The </w:t>
      </w:r>
      <w:r w:rsidR="008F0E42" w:rsidRPr="00460D4E">
        <w:rPr>
          <w:rFonts w:ascii="Arial" w:hAnsi="Arial" w:cs="Arial"/>
          <w:sz w:val="24"/>
          <w:szCs w:val="24"/>
        </w:rPr>
        <w:t xml:space="preserve">Executive </w:t>
      </w:r>
      <w:r w:rsidRPr="00460D4E">
        <w:rPr>
          <w:rFonts w:ascii="Arial" w:hAnsi="Arial" w:cs="Arial"/>
          <w:sz w:val="24"/>
          <w:szCs w:val="24"/>
        </w:rPr>
        <w:t>Director of Finance has the delegated au</w:t>
      </w:r>
      <w:r w:rsidR="00D96D4D" w:rsidRPr="00460D4E">
        <w:rPr>
          <w:rFonts w:ascii="Arial" w:hAnsi="Arial" w:cs="Arial"/>
          <w:sz w:val="24"/>
          <w:szCs w:val="24"/>
        </w:rPr>
        <w:t xml:space="preserve">thority to </w:t>
      </w:r>
      <w:r w:rsidR="006B1899" w:rsidRPr="00460D4E">
        <w:rPr>
          <w:rFonts w:ascii="Arial" w:hAnsi="Arial" w:cs="Arial"/>
          <w:sz w:val="24"/>
          <w:szCs w:val="24"/>
        </w:rPr>
        <w:t xml:space="preserve">apply </w:t>
      </w:r>
      <w:r w:rsidR="00D96D4D" w:rsidRPr="00460D4E">
        <w:rPr>
          <w:rFonts w:ascii="Arial" w:hAnsi="Arial" w:cs="Arial"/>
          <w:sz w:val="24"/>
          <w:szCs w:val="24"/>
        </w:rPr>
        <w:t>the Group</w:t>
      </w:r>
      <w:r w:rsidRPr="00460D4E">
        <w:rPr>
          <w:rFonts w:ascii="Arial" w:hAnsi="Arial" w:cs="Arial"/>
          <w:sz w:val="24"/>
          <w:szCs w:val="24"/>
        </w:rPr>
        <w:t>’s strategy for depositing surplus funds</w:t>
      </w:r>
      <w:r w:rsidR="00D96D4D" w:rsidRPr="00460D4E">
        <w:rPr>
          <w:rFonts w:ascii="Arial" w:hAnsi="Arial" w:cs="Arial"/>
          <w:sz w:val="24"/>
          <w:szCs w:val="24"/>
        </w:rPr>
        <w:t xml:space="preserve"> and cash flow of the Group</w:t>
      </w:r>
      <w:r w:rsidRPr="00460D4E">
        <w:rPr>
          <w:rFonts w:ascii="Arial" w:hAnsi="Arial" w:cs="Arial"/>
          <w:sz w:val="24"/>
          <w:szCs w:val="24"/>
        </w:rPr>
        <w:t xml:space="preserve">. In exercising these </w:t>
      </w:r>
      <w:proofErr w:type="gramStart"/>
      <w:r w:rsidRPr="00460D4E">
        <w:rPr>
          <w:rFonts w:ascii="Arial" w:hAnsi="Arial" w:cs="Arial"/>
          <w:sz w:val="24"/>
          <w:szCs w:val="24"/>
        </w:rPr>
        <w:t>powers</w:t>
      </w:r>
      <w:proofErr w:type="gramEnd"/>
      <w:r w:rsidRPr="00460D4E">
        <w:rPr>
          <w:rFonts w:ascii="Arial" w:hAnsi="Arial" w:cs="Arial"/>
          <w:sz w:val="24"/>
          <w:szCs w:val="24"/>
        </w:rPr>
        <w:t xml:space="preserve"> he/she will have regard to:</w:t>
      </w:r>
    </w:p>
    <w:p w14:paraId="247A47E3" w14:textId="77777777" w:rsidR="00397F09" w:rsidRPr="00460D4E" w:rsidRDefault="00397F09" w:rsidP="00460D4E">
      <w:pPr>
        <w:spacing w:after="0" w:line="276" w:lineRule="auto"/>
        <w:rPr>
          <w:rFonts w:ascii="Arial" w:hAnsi="Arial" w:cs="Arial"/>
          <w:sz w:val="24"/>
          <w:szCs w:val="24"/>
        </w:rPr>
      </w:pPr>
    </w:p>
    <w:p w14:paraId="02248531" w14:textId="7F4D3DF8" w:rsidR="00F11FE2" w:rsidRPr="00460D4E" w:rsidRDefault="00F11FE2" w:rsidP="00460D4E">
      <w:pPr>
        <w:numPr>
          <w:ilvl w:val="0"/>
          <w:numId w:val="1"/>
        </w:numPr>
        <w:spacing w:after="0" w:line="276" w:lineRule="auto"/>
        <w:ind w:left="2160"/>
        <w:rPr>
          <w:rFonts w:ascii="Arial" w:hAnsi="Arial" w:cs="Arial"/>
          <w:sz w:val="24"/>
          <w:szCs w:val="24"/>
        </w:rPr>
      </w:pPr>
      <w:r w:rsidRPr="00460D4E">
        <w:rPr>
          <w:rFonts w:ascii="Arial" w:hAnsi="Arial" w:cs="Arial"/>
          <w:sz w:val="24"/>
          <w:szCs w:val="24"/>
        </w:rPr>
        <w:t>liquidity risk management ensuring the Group has available and can access adequate, but not excessive, cash resources to enable it to deliver the business/service objectives</w:t>
      </w:r>
      <w:r w:rsidR="007B02D2" w:rsidRPr="00460D4E">
        <w:rPr>
          <w:rFonts w:ascii="Arial" w:hAnsi="Arial" w:cs="Arial"/>
          <w:sz w:val="24"/>
          <w:szCs w:val="24"/>
        </w:rPr>
        <w:t>.</w:t>
      </w:r>
      <w:r w:rsidRPr="00460D4E">
        <w:rPr>
          <w:rFonts w:ascii="Arial" w:hAnsi="Arial" w:cs="Arial"/>
          <w:sz w:val="24"/>
          <w:szCs w:val="24"/>
        </w:rPr>
        <w:t xml:space="preserve"> </w:t>
      </w:r>
    </w:p>
    <w:p w14:paraId="4C3AB1D1" w14:textId="514F4535" w:rsidR="00F11FE2" w:rsidRPr="00460D4E" w:rsidRDefault="00397F09" w:rsidP="00460D4E">
      <w:pPr>
        <w:numPr>
          <w:ilvl w:val="0"/>
          <w:numId w:val="1"/>
        </w:numPr>
        <w:spacing w:after="0" w:line="276" w:lineRule="auto"/>
        <w:ind w:left="2160"/>
        <w:rPr>
          <w:rFonts w:ascii="Arial" w:hAnsi="Arial" w:cs="Arial"/>
          <w:sz w:val="24"/>
          <w:szCs w:val="24"/>
        </w:rPr>
      </w:pPr>
      <w:r w:rsidRPr="00460D4E">
        <w:rPr>
          <w:rFonts w:ascii="Arial" w:hAnsi="Arial" w:cs="Arial"/>
          <w:sz w:val="24"/>
          <w:szCs w:val="24"/>
        </w:rPr>
        <w:t>the effect of possible changes in interest rates on the cost of borrowing and the ret</w:t>
      </w:r>
      <w:r w:rsidR="00461FCF" w:rsidRPr="00460D4E">
        <w:rPr>
          <w:rFonts w:ascii="Arial" w:hAnsi="Arial" w:cs="Arial"/>
          <w:sz w:val="24"/>
          <w:szCs w:val="24"/>
        </w:rPr>
        <w:t>urn from investing</w:t>
      </w:r>
      <w:r w:rsidR="007B02D2" w:rsidRPr="00460D4E">
        <w:rPr>
          <w:rFonts w:ascii="Arial" w:hAnsi="Arial" w:cs="Arial"/>
          <w:sz w:val="24"/>
          <w:szCs w:val="24"/>
        </w:rPr>
        <w:t>.</w:t>
      </w:r>
    </w:p>
    <w:p w14:paraId="49BDE1D1" w14:textId="691EF4AB" w:rsidR="00F11FE2" w:rsidRPr="00460D4E" w:rsidRDefault="00F11FE2" w:rsidP="00460D4E">
      <w:pPr>
        <w:numPr>
          <w:ilvl w:val="0"/>
          <w:numId w:val="1"/>
        </w:numPr>
        <w:spacing w:after="0" w:line="276" w:lineRule="auto"/>
        <w:ind w:left="2160"/>
        <w:rPr>
          <w:rFonts w:ascii="Arial" w:hAnsi="Arial" w:cs="Arial"/>
          <w:sz w:val="24"/>
          <w:szCs w:val="24"/>
        </w:rPr>
      </w:pPr>
      <w:r w:rsidRPr="00460D4E">
        <w:rPr>
          <w:rFonts w:ascii="Arial" w:hAnsi="Arial" w:cs="Arial"/>
          <w:sz w:val="24"/>
          <w:szCs w:val="24"/>
        </w:rPr>
        <w:t xml:space="preserve">legal and regulatory risk management by ensuring that </w:t>
      </w:r>
      <w:proofErr w:type="gramStart"/>
      <w:r w:rsidRPr="00460D4E">
        <w:rPr>
          <w:rFonts w:ascii="Arial" w:hAnsi="Arial" w:cs="Arial"/>
          <w:sz w:val="24"/>
          <w:szCs w:val="24"/>
        </w:rPr>
        <w:t>all of</w:t>
      </w:r>
      <w:proofErr w:type="gramEnd"/>
      <w:r w:rsidRPr="00460D4E">
        <w:rPr>
          <w:rFonts w:ascii="Arial" w:hAnsi="Arial" w:cs="Arial"/>
          <w:sz w:val="24"/>
          <w:szCs w:val="24"/>
        </w:rPr>
        <w:t xml:space="preserve"> the University’s treasury management activities comply with its statutory powers and regulatory requirements</w:t>
      </w:r>
      <w:r w:rsidR="007B02D2" w:rsidRPr="00460D4E">
        <w:rPr>
          <w:rFonts w:ascii="Arial" w:hAnsi="Arial" w:cs="Arial"/>
          <w:sz w:val="24"/>
          <w:szCs w:val="24"/>
        </w:rPr>
        <w:t>.</w:t>
      </w:r>
    </w:p>
    <w:p w14:paraId="1F024C73" w14:textId="4A156E88" w:rsidR="00397F09" w:rsidRDefault="00F11FE2" w:rsidP="00460D4E">
      <w:pPr>
        <w:numPr>
          <w:ilvl w:val="0"/>
          <w:numId w:val="1"/>
        </w:numPr>
        <w:spacing w:after="0" w:line="276" w:lineRule="auto"/>
        <w:ind w:left="2160"/>
        <w:rPr>
          <w:rFonts w:ascii="Arial" w:hAnsi="Arial" w:cs="Arial"/>
          <w:sz w:val="24"/>
          <w:szCs w:val="24"/>
        </w:rPr>
      </w:pPr>
      <w:r w:rsidRPr="00460D4E">
        <w:rPr>
          <w:rFonts w:ascii="Arial" w:hAnsi="Arial" w:cs="Arial"/>
          <w:sz w:val="24"/>
          <w:szCs w:val="24"/>
        </w:rPr>
        <w:t>market risk management: the Group will seek to ensure that its stated Treasury Management policy will not be compromised by adverse market fluctuations in the value of the principal sums it invests</w:t>
      </w:r>
      <w:r w:rsidR="003A3E3C" w:rsidRPr="00460D4E">
        <w:rPr>
          <w:rFonts w:ascii="Arial" w:hAnsi="Arial" w:cs="Arial"/>
          <w:sz w:val="24"/>
          <w:szCs w:val="24"/>
        </w:rPr>
        <w:t xml:space="preserve"> and will accordingly seek to protect itself from the effects of such fluctuations.</w:t>
      </w:r>
      <w:r w:rsidRPr="00460D4E">
        <w:rPr>
          <w:rFonts w:ascii="Arial" w:hAnsi="Arial" w:cs="Arial"/>
          <w:sz w:val="24"/>
          <w:szCs w:val="24"/>
        </w:rPr>
        <w:t xml:space="preserve">  </w:t>
      </w:r>
    </w:p>
    <w:p w14:paraId="0F14EB33" w14:textId="77777777" w:rsidR="00460D4E" w:rsidRPr="00460D4E" w:rsidRDefault="00460D4E" w:rsidP="00460D4E">
      <w:pPr>
        <w:spacing w:after="0" w:line="276" w:lineRule="auto"/>
        <w:ind w:left="1440"/>
        <w:rPr>
          <w:rFonts w:ascii="Arial" w:hAnsi="Arial" w:cs="Arial"/>
          <w:sz w:val="24"/>
          <w:szCs w:val="24"/>
        </w:rPr>
      </w:pPr>
    </w:p>
    <w:p w14:paraId="363B9CA3" w14:textId="77777777" w:rsidR="00397F09" w:rsidRPr="00460D4E" w:rsidRDefault="00397F09" w:rsidP="00460D4E">
      <w:pPr>
        <w:pStyle w:val="Heading2"/>
      </w:pPr>
      <w:r w:rsidRPr="00460D4E">
        <w:t>4</w:t>
      </w:r>
      <w:r w:rsidRPr="00460D4E">
        <w:tab/>
        <w:t>Approved Methods of Raising Capital Finance</w:t>
      </w:r>
    </w:p>
    <w:p w14:paraId="27F4F049" w14:textId="77777777" w:rsidR="00397F09" w:rsidRPr="00460D4E" w:rsidRDefault="00397F09" w:rsidP="00460D4E">
      <w:pPr>
        <w:spacing w:after="0" w:line="276" w:lineRule="auto"/>
        <w:rPr>
          <w:rFonts w:ascii="Arial" w:hAnsi="Arial" w:cs="Arial"/>
          <w:sz w:val="24"/>
          <w:szCs w:val="24"/>
        </w:rPr>
      </w:pPr>
    </w:p>
    <w:p w14:paraId="7AB2D68A"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The </w:t>
      </w:r>
      <w:r w:rsidR="008F0E42" w:rsidRPr="00460D4E">
        <w:rPr>
          <w:rFonts w:ascii="Arial" w:hAnsi="Arial" w:cs="Arial"/>
          <w:sz w:val="24"/>
          <w:szCs w:val="24"/>
        </w:rPr>
        <w:t xml:space="preserve">Executive </w:t>
      </w:r>
      <w:r w:rsidRPr="00460D4E">
        <w:rPr>
          <w:rFonts w:ascii="Arial" w:hAnsi="Arial" w:cs="Arial"/>
          <w:sz w:val="24"/>
          <w:szCs w:val="24"/>
        </w:rPr>
        <w:t>Director of Finance, in conjunction with the Strategy and Finance Committee and the Board of Governors, will undertake on its behalf the borrow</w:t>
      </w:r>
      <w:r w:rsidR="00E45D24" w:rsidRPr="00460D4E">
        <w:rPr>
          <w:rFonts w:ascii="Arial" w:hAnsi="Arial" w:cs="Arial"/>
          <w:sz w:val="24"/>
          <w:szCs w:val="24"/>
        </w:rPr>
        <w:t>ing activities of the Group</w:t>
      </w:r>
      <w:r w:rsidRPr="00460D4E">
        <w:rPr>
          <w:rFonts w:ascii="Arial" w:hAnsi="Arial" w:cs="Arial"/>
          <w:sz w:val="24"/>
          <w:szCs w:val="24"/>
        </w:rPr>
        <w:t xml:space="preserve">. The </w:t>
      </w:r>
      <w:r w:rsidR="008F0E42" w:rsidRPr="00460D4E">
        <w:rPr>
          <w:rFonts w:ascii="Arial" w:hAnsi="Arial" w:cs="Arial"/>
          <w:sz w:val="24"/>
          <w:szCs w:val="24"/>
        </w:rPr>
        <w:t xml:space="preserve">Executive </w:t>
      </w:r>
      <w:r w:rsidRPr="00460D4E">
        <w:rPr>
          <w:rFonts w:ascii="Arial" w:hAnsi="Arial" w:cs="Arial"/>
          <w:sz w:val="24"/>
          <w:szCs w:val="24"/>
        </w:rPr>
        <w:t>Director of Fina</w:t>
      </w:r>
      <w:r w:rsidR="00E45D24" w:rsidRPr="00460D4E">
        <w:rPr>
          <w:rFonts w:ascii="Arial" w:hAnsi="Arial" w:cs="Arial"/>
          <w:sz w:val="24"/>
          <w:szCs w:val="24"/>
        </w:rPr>
        <w:t>nce cannot commit the Group</w:t>
      </w:r>
      <w:r w:rsidRPr="00460D4E">
        <w:rPr>
          <w:rFonts w:ascii="Arial" w:hAnsi="Arial" w:cs="Arial"/>
          <w:sz w:val="24"/>
          <w:szCs w:val="24"/>
        </w:rPr>
        <w:t xml:space="preserve"> to any borrowing without obtaining the specific authority of the Strategy and Finance Committee and the Board of Governors. </w:t>
      </w:r>
    </w:p>
    <w:p w14:paraId="39DD6AEA" w14:textId="77777777" w:rsidR="00397F09" w:rsidRPr="00460D4E" w:rsidRDefault="00397F09" w:rsidP="00460D4E">
      <w:pPr>
        <w:spacing w:after="0" w:line="276" w:lineRule="auto"/>
        <w:rPr>
          <w:rFonts w:ascii="Arial" w:hAnsi="Arial" w:cs="Arial"/>
          <w:sz w:val="24"/>
          <w:szCs w:val="24"/>
        </w:rPr>
      </w:pPr>
    </w:p>
    <w:p w14:paraId="7E5B535E"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The </w:t>
      </w:r>
      <w:r w:rsidR="008F0E42" w:rsidRPr="00460D4E">
        <w:rPr>
          <w:rFonts w:ascii="Arial" w:hAnsi="Arial" w:cs="Arial"/>
          <w:sz w:val="24"/>
          <w:szCs w:val="24"/>
        </w:rPr>
        <w:t xml:space="preserve">Executive </w:t>
      </w:r>
      <w:r w:rsidRPr="00460D4E">
        <w:rPr>
          <w:rFonts w:ascii="Arial" w:hAnsi="Arial" w:cs="Arial"/>
          <w:sz w:val="24"/>
          <w:szCs w:val="24"/>
        </w:rPr>
        <w:t>Director of Finance will prepare for the Strategy and Finance Committee a report for any proposed capital borrowing.</w:t>
      </w:r>
    </w:p>
    <w:p w14:paraId="109A3E7A" w14:textId="77777777" w:rsidR="00397F09" w:rsidRPr="00460D4E" w:rsidRDefault="00397F09" w:rsidP="00460D4E">
      <w:pPr>
        <w:spacing w:after="0" w:line="276" w:lineRule="auto"/>
        <w:rPr>
          <w:rFonts w:ascii="Arial" w:hAnsi="Arial" w:cs="Arial"/>
          <w:sz w:val="24"/>
          <w:szCs w:val="24"/>
        </w:rPr>
      </w:pPr>
    </w:p>
    <w:p w14:paraId="085B9595"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In raising capital finance, the </w:t>
      </w:r>
      <w:r w:rsidR="008F0E42" w:rsidRPr="00460D4E">
        <w:rPr>
          <w:rFonts w:ascii="Arial" w:hAnsi="Arial" w:cs="Arial"/>
          <w:sz w:val="24"/>
          <w:szCs w:val="24"/>
        </w:rPr>
        <w:t xml:space="preserve">Executive </w:t>
      </w:r>
      <w:r w:rsidRPr="00460D4E">
        <w:rPr>
          <w:rFonts w:ascii="Arial" w:hAnsi="Arial" w:cs="Arial"/>
          <w:sz w:val="24"/>
          <w:szCs w:val="24"/>
        </w:rPr>
        <w:t>Director of Finance will take account of:</w:t>
      </w:r>
    </w:p>
    <w:p w14:paraId="3C861EA4" w14:textId="77777777" w:rsidR="00397F09" w:rsidRPr="00460D4E" w:rsidRDefault="00397F09" w:rsidP="00460D4E">
      <w:pPr>
        <w:spacing w:after="0" w:line="276" w:lineRule="auto"/>
        <w:rPr>
          <w:rFonts w:ascii="Arial" w:hAnsi="Arial" w:cs="Arial"/>
          <w:sz w:val="24"/>
          <w:szCs w:val="24"/>
        </w:rPr>
      </w:pPr>
    </w:p>
    <w:p w14:paraId="0052452F" w14:textId="77777777" w:rsidR="00397F09" w:rsidRPr="00460D4E" w:rsidRDefault="00397F09" w:rsidP="00460D4E">
      <w:pPr>
        <w:numPr>
          <w:ilvl w:val="0"/>
          <w:numId w:val="2"/>
        </w:numPr>
        <w:spacing w:after="0" w:line="276" w:lineRule="auto"/>
        <w:ind w:left="2160"/>
        <w:rPr>
          <w:rFonts w:ascii="Arial" w:hAnsi="Arial" w:cs="Arial"/>
          <w:sz w:val="24"/>
          <w:szCs w:val="24"/>
        </w:rPr>
      </w:pPr>
      <w:r w:rsidRPr="00460D4E">
        <w:rPr>
          <w:rFonts w:ascii="Arial" w:hAnsi="Arial" w:cs="Arial"/>
          <w:sz w:val="24"/>
          <w:szCs w:val="24"/>
        </w:rPr>
        <w:t>th</w:t>
      </w:r>
      <w:r w:rsidR="00E45D24" w:rsidRPr="00460D4E">
        <w:rPr>
          <w:rFonts w:ascii="Arial" w:hAnsi="Arial" w:cs="Arial"/>
          <w:sz w:val="24"/>
          <w:szCs w:val="24"/>
        </w:rPr>
        <w:t>e Group</w:t>
      </w:r>
      <w:r w:rsidR="00461FCF" w:rsidRPr="00460D4E">
        <w:rPr>
          <w:rFonts w:ascii="Arial" w:hAnsi="Arial" w:cs="Arial"/>
          <w:sz w:val="24"/>
          <w:szCs w:val="24"/>
        </w:rPr>
        <w:t>’s powers and rules</w:t>
      </w:r>
    </w:p>
    <w:p w14:paraId="6F34DA1D" w14:textId="77777777" w:rsidR="00397F09" w:rsidRPr="00460D4E" w:rsidRDefault="00397F09" w:rsidP="00460D4E">
      <w:pPr>
        <w:numPr>
          <w:ilvl w:val="0"/>
          <w:numId w:val="2"/>
        </w:numPr>
        <w:spacing w:after="0" w:line="276" w:lineRule="auto"/>
        <w:ind w:left="2160"/>
        <w:rPr>
          <w:rFonts w:ascii="Arial" w:hAnsi="Arial" w:cs="Arial"/>
          <w:sz w:val="24"/>
          <w:szCs w:val="24"/>
        </w:rPr>
      </w:pPr>
      <w:r w:rsidRPr="00460D4E">
        <w:rPr>
          <w:rFonts w:ascii="Arial" w:hAnsi="Arial" w:cs="Arial"/>
          <w:sz w:val="24"/>
          <w:szCs w:val="24"/>
        </w:rPr>
        <w:t>statutory restriction</w:t>
      </w:r>
    </w:p>
    <w:p w14:paraId="59A073A9" w14:textId="77777777" w:rsidR="00397F09" w:rsidRPr="00460D4E" w:rsidRDefault="00397F09" w:rsidP="00460D4E">
      <w:pPr>
        <w:numPr>
          <w:ilvl w:val="0"/>
          <w:numId w:val="2"/>
        </w:numPr>
        <w:tabs>
          <w:tab w:val="num" w:pos="2160"/>
        </w:tabs>
        <w:spacing w:after="0" w:line="276" w:lineRule="auto"/>
        <w:ind w:left="2160"/>
        <w:rPr>
          <w:rFonts w:ascii="Arial" w:hAnsi="Arial" w:cs="Arial"/>
          <w:sz w:val="24"/>
          <w:szCs w:val="24"/>
        </w:rPr>
      </w:pPr>
      <w:r w:rsidRPr="00460D4E">
        <w:rPr>
          <w:rFonts w:ascii="Arial" w:hAnsi="Arial" w:cs="Arial"/>
          <w:sz w:val="24"/>
          <w:szCs w:val="24"/>
        </w:rPr>
        <w:t>the requirements of the Financial Memorandum with all relevant funding bodies</w:t>
      </w:r>
    </w:p>
    <w:p w14:paraId="7B81FC9F" w14:textId="77777777" w:rsidR="00397F09" w:rsidRPr="00460D4E" w:rsidRDefault="00397F09" w:rsidP="00460D4E">
      <w:pPr>
        <w:numPr>
          <w:ilvl w:val="0"/>
          <w:numId w:val="2"/>
        </w:numPr>
        <w:tabs>
          <w:tab w:val="num" w:pos="2160"/>
        </w:tabs>
        <w:spacing w:after="0" w:line="276" w:lineRule="auto"/>
        <w:ind w:left="2160"/>
        <w:rPr>
          <w:rFonts w:ascii="Arial" w:hAnsi="Arial" w:cs="Arial"/>
          <w:sz w:val="24"/>
          <w:szCs w:val="24"/>
        </w:rPr>
      </w:pPr>
      <w:r w:rsidRPr="00460D4E">
        <w:rPr>
          <w:rFonts w:ascii="Arial" w:hAnsi="Arial" w:cs="Arial"/>
          <w:sz w:val="24"/>
          <w:szCs w:val="24"/>
        </w:rPr>
        <w:t>terms and covenants of borrowing</w:t>
      </w:r>
      <w:r w:rsidR="00461FCF" w:rsidRPr="00460D4E">
        <w:rPr>
          <w:rFonts w:ascii="Arial" w:hAnsi="Arial" w:cs="Arial"/>
          <w:sz w:val="24"/>
          <w:szCs w:val="24"/>
        </w:rPr>
        <w:t>.</w:t>
      </w:r>
    </w:p>
    <w:p w14:paraId="44C564FC" w14:textId="77777777" w:rsidR="005B1743" w:rsidRPr="00460D4E" w:rsidRDefault="005B1743" w:rsidP="00460D4E">
      <w:pPr>
        <w:tabs>
          <w:tab w:val="num" w:pos="2160"/>
        </w:tabs>
        <w:spacing w:after="0" w:line="276" w:lineRule="auto"/>
        <w:rPr>
          <w:rFonts w:ascii="Arial" w:hAnsi="Arial" w:cs="Arial"/>
          <w:sz w:val="24"/>
          <w:szCs w:val="24"/>
        </w:rPr>
      </w:pPr>
    </w:p>
    <w:p w14:paraId="63BFEFE3" w14:textId="77777777" w:rsidR="005B1743" w:rsidRPr="00460D4E" w:rsidRDefault="005B1743" w:rsidP="00460D4E">
      <w:pPr>
        <w:spacing w:after="0" w:line="276" w:lineRule="auto"/>
        <w:ind w:left="720"/>
        <w:rPr>
          <w:rFonts w:ascii="Arial" w:hAnsi="Arial" w:cs="Arial"/>
          <w:sz w:val="24"/>
          <w:szCs w:val="24"/>
        </w:rPr>
      </w:pPr>
      <w:r w:rsidRPr="00460D4E">
        <w:rPr>
          <w:rFonts w:ascii="Arial" w:hAnsi="Arial" w:cs="Arial"/>
          <w:sz w:val="24"/>
          <w:szCs w:val="24"/>
        </w:rPr>
        <w:t>The Strategy and Finance Committee will provide advice to the Board of Governors on all potential bo</w:t>
      </w:r>
      <w:r w:rsidR="00E15335" w:rsidRPr="00460D4E">
        <w:rPr>
          <w:rFonts w:ascii="Arial" w:hAnsi="Arial" w:cs="Arial"/>
          <w:sz w:val="24"/>
          <w:szCs w:val="24"/>
        </w:rPr>
        <w:t xml:space="preserve">rrowings, giving reference to </w:t>
      </w:r>
      <w:r w:rsidRPr="00460D4E">
        <w:rPr>
          <w:rFonts w:ascii="Arial" w:hAnsi="Arial" w:cs="Arial"/>
          <w:sz w:val="24"/>
          <w:szCs w:val="24"/>
        </w:rPr>
        <w:t>HEFCW’s requirements within the Memorandum of Assurance and Accountability 2015.</w:t>
      </w:r>
    </w:p>
    <w:p w14:paraId="5562B739" w14:textId="77777777" w:rsidR="006B1899" w:rsidRPr="00460D4E" w:rsidRDefault="006B1899" w:rsidP="00460D4E">
      <w:pPr>
        <w:spacing w:after="0" w:line="276" w:lineRule="auto"/>
        <w:ind w:left="720"/>
        <w:rPr>
          <w:rFonts w:ascii="Arial" w:hAnsi="Arial" w:cs="Arial"/>
          <w:sz w:val="24"/>
          <w:szCs w:val="24"/>
        </w:rPr>
      </w:pPr>
    </w:p>
    <w:p w14:paraId="1425067B" w14:textId="451511F0" w:rsidR="00397F09" w:rsidRDefault="006B1899" w:rsidP="00460D4E">
      <w:pPr>
        <w:spacing w:after="0" w:line="276" w:lineRule="auto"/>
        <w:ind w:left="720"/>
        <w:rPr>
          <w:rFonts w:ascii="Arial" w:hAnsi="Arial" w:cs="Arial"/>
          <w:sz w:val="24"/>
          <w:szCs w:val="24"/>
        </w:rPr>
      </w:pPr>
      <w:r w:rsidRPr="00460D4E">
        <w:rPr>
          <w:rFonts w:ascii="Arial" w:hAnsi="Arial" w:cs="Arial"/>
          <w:sz w:val="24"/>
          <w:szCs w:val="24"/>
        </w:rPr>
        <w:t>Loan facilities will be arranged only with organisations that are judged to have sufficient financial strength to ensure that the funds committed under the facilities will be available as and when they are required by the University Group in accordance with the terms of the loan agreement. This will normally mean that lending organisations are at least investment grade (rating BBB) and are able to demonstrate a long-term commitment to the higher education sector.</w:t>
      </w:r>
    </w:p>
    <w:p w14:paraId="53F0EB5B" w14:textId="77777777" w:rsidR="00460D4E" w:rsidRPr="00460D4E" w:rsidRDefault="00460D4E" w:rsidP="00460D4E">
      <w:pPr>
        <w:spacing w:after="0" w:line="276" w:lineRule="auto"/>
        <w:ind w:left="720"/>
        <w:rPr>
          <w:rFonts w:ascii="Arial" w:hAnsi="Arial" w:cs="Arial"/>
          <w:sz w:val="24"/>
          <w:szCs w:val="24"/>
        </w:rPr>
      </w:pPr>
    </w:p>
    <w:p w14:paraId="6B766224" w14:textId="77777777" w:rsidR="00397F09" w:rsidRPr="00460D4E" w:rsidRDefault="00397F09" w:rsidP="00460D4E">
      <w:pPr>
        <w:pStyle w:val="Heading2"/>
      </w:pPr>
      <w:r w:rsidRPr="00460D4E">
        <w:t>5</w:t>
      </w:r>
      <w:r w:rsidRPr="00460D4E">
        <w:tab/>
        <w:t>Investing and Depositing of Surplus Funds</w:t>
      </w:r>
    </w:p>
    <w:p w14:paraId="379FE787" w14:textId="77777777" w:rsidR="00397F09" w:rsidRPr="00460D4E" w:rsidRDefault="00397F09" w:rsidP="00460D4E">
      <w:pPr>
        <w:spacing w:after="0" w:line="276" w:lineRule="auto"/>
        <w:rPr>
          <w:rFonts w:ascii="Arial" w:hAnsi="Arial" w:cs="Arial"/>
          <w:sz w:val="24"/>
          <w:szCs w:val="24"/>
        </w:rPr>
      </w:pPr>
    </w:p>
    <w:p w14:paraId="0C8207FA"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The overriding principle guiding the investing of surplus cash balances is the preservation of the</w:t>
      </w:r>
      <w:r w:rsidR="00E45D24" w:rsidRPr="00460D4E">
        <w:rPr>
          <w:rFonts w:ascii="Arial" w:hAnsi="Arial" w:cs="Arial"/>
          <w:sz w:val="24"/>
          <w:szCs w:val="24"/>
        </w:rPr>
        <w:t xml:space="preserve"> capital value of the Group</w:t>
      </w:r>
      <w:r w:rsidRPr="00460D4E">
        <w:rPr>
          <w:rFonts w:ascii="Arial" w:hAnsi="Arial" w:cs="Arial"/>
          <w:sz w:val="24"/>
          <w:szCs w:val="24"/>
        </w:rPr>
        <w:t>’s resources</w:t>
      </w:r>
      <w:r w:rsidR="008D23EF" w:rsidRPr="00460D4E">
        <w:rPr>
          <w:rFonts w:ascii="Arial" w:hAnsi="Arial" w:cs="Arial"/>
          <w:sz w:val="24"/>
          <w:szCs w:val="24"/>
        </w:rPr>
        <w:t xml:space="preserve"> and adherence to </w:t>
      </w:r>
      <w:proofErr w:type="gramStart"/>
      <w:r w:rsidR="008D23EF" w:rsidRPr="00460D4E">
        <w:rPr>
          <w:rFonts w:ascii="Arial" w:hAnsi="Arial" w:cs="Arial"/>
          <w:sz w:val="24"/>
          <w:szCs w:val="24"/>
        </w:rPr>
        <w:t>University</w:t>
      </w:r>
      <w:proofErr w:type="gramEnd"/>
      <w:r w:rsidR="008D23EF" w:rsidRPr="00460D4E">
        <w:rPr>
          <w:rFonts w:ascii="Arial" w:hAnsi="Arial" w:cs="Arial"/>
          <w:sz w:val="24"/>
          <w:szCs w:val="24"/>
        </w:rPr>
        <w:t xml:space="preserve"> values</w:t>
      </w:r>
      <w:r w:rsidRPr="00460D4E">
        <w:rPr>
          <w:rFonts w:ascii="Arial" w:hAnsi="Arial" w:cs="Arial"/>
          <w:sz w:val="24"/>
          <w:szCs w:val="24"/>
        </w:rPr>
        <w:t xml:space="preserve">. The </w:t>
      </w:r>
      <w:r w:rsidR="008F0E42" w:rsidRPr="00460D4E">
        <w:rPr>
          <w:rFonts w:ascii="Arial" w:hAnsi="Arial" w:cs="Arial"/>
          <w:sz w:val="24"/>
          <w:szCs w:val="24"/>
        </w:rPr>
        <w:t xml:space="preserve">Executive </w:t>
      </w:r>
      <w:r w:rsidRPr="00460D4E">
        <w:rPr>
          <w:rFonts w:ascii="Arial" w:hAnsi="Arial" w:cs="Arial"/>
          <w:sz w:val="24"/>
          <w:szCs w:val="24"/>
        </w:rPr>
        <w:t>Director of Finance has delegated authority to invest</w:t>
      </w:r>
      <w:r w:rsidR="00E45D24" w:rsidRPr="00460D4E">
        <w:rPr>
          <w:rFonts w:ascii="Arial" w:hAnsi="Arial" w:cs="Arial"/>
          <w:sz w:val="24"/>
          <w:szCs w:val="24"/>
        </w:rPr>
        <w:t xml:space="preserve"> surplus funds of the Group</w:t>
      </w:r>
      <w:r w:rsidRPr="00460D4E">
        <w:rPr>
          <w:rFonts w:ascii="Arial" w:hAnsi="Arial" w:cs="Arial"/>
          <w:sz w:val="24"/>
          <w:szCs w:val="24"/>
        </w:rPr>
        <w:t xml:space="preserve"> in accordance with the annual financial strategy and in accordance with the terms of this statement.</w:t>
      </w:r>
    </w:p>
    <w:p w14:paraId="7378C4CE" w14:textId="77777777" w:rsidR="00397F09" w:rsidRPr="00460D4E" w:rsidRDefault="00397F09" w:rsidP="00460D4E">
      <w:pPr>
        <w:spacing w:after="0" w:line="276" w:lineRule="auto"/>
        <w:rPr>
          <w:rFonts w:ascii="Arial" w:hAnsi="Arial" w:cs="Arial"/>
          <w:sz w:val="24"/>
          <w:szCs w:val="24"/>
        </w:rPr>
      </w:pPr>
    </w:p>
    <w:p w14:paraId="7B22FB82"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The </w:t>
      </w:r>
      <w:r w:rsidR="008F0E42" w:rsidRPr="00460D4E">
        <w:rPr>
          <w:rFonts w:ascii="Arial" w:hAnsi="Arial" w:cs="Arial"/>
          <w:sz w:val="24"/>
          <w:szCs w:val="24"/>
        </w:rPr>
        <w:t xml:space="preserve">Executive </w:t>
      </w:r>
      <w:r w:rsidRPr="00460D4E">
        <w:rPr>
          <w:rFonts w:ascii="Arial" w:hAnsi="Arial" w:cs="Arial"/>
          <w:sz w:val="24"/>
          <w:szCs w:val="24"/>
        </w:rPr>
        <w:t>Director of Finance is authorised to invest ONLY in Treasury Deposit Accounts, interest bearing current accounts and similar instruments</w:t>
      </w:r>
      <w:r w:rsidR="006B1899" w:rsidRPr="00460D4E">
        <w:rPr>
          <w:rFonts w:ascii="Arial" w:hAnsi="Arial" w:cs="Arial"/>
          <w:sz w:val="24"/>
          <w:szCs w:val="24"/>
        </w:rPr>
        <w:t>, as defined in appendix C,</w:t>
      </w:r>
      <w:r w:rsidRPr="00460D4E">
        <w:rPr>
          <w:rFonts w:ascii="Arial" w:hAnsi="Arial" w:cs="Arial"/>
          <w:sz w:val="24"/>
          <w:szCs w:val="24"/>
        </w:rPr>
        <w:t xml:space="preserve"> which preserve the Capital Value of the investment and minimise risk. </w:t>
      </w:r>
    </w:p>
    <w:p w14:paraId="0817A0FE" w14:textId="77777777" w:rsidR="00397F09" w:rsidRPr="00460D4E" w:rsidRDefault="00397F09" w:rsidP="00460D4E">
      <w:pPr>
        <w:spacing w:after="0" w:line="276" w:lineRule="auto"/>
        <w:rPr>
          <w:rFonts w:ascii="Arial" w:hAnsi="Arial" w:cs="Arial"/>
          <w:sz w:val="24"/>
          <w:szCs w:val="24"/>
        </w:rPr>
      </w:pPr>
    </w:p>
    <w:p w14:paraId="0D87E002"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The </w:t>
      </w:r>
      <w:r w:rsidR="008F0E42" w:rsidRPr="00460D4E">
        <w:rPr>
          <w:rFonts w:ascii="Arial" w:hAnsi="Arial" w:cs="Arial"/>
          <w:sz w:val="24"/>
          <w:szCs w:val="24"/>
        </w:rPr>
        <w:t xml:space="preserve">Executive </w:t>
      </w:r>
      <w:r w:rsidRPr="00460D4E">
        <w:rPr>
          <w:rFonts w:ascii="Arial" w:hAnsi="Arial" w:cs="Arial"/>
          <w:sz w:val="24"/>
          <w:szCs w:val="24"/>
        </w:rPr>
        <w:t xml:space="preserve">Director of Finance is responsible for ensuring the monitoring of the </w:t>
      </w:r>
      <w:proofErr w:type="gramStart"/>
      <w:r w:rsidRPr="00460D4E">
        <w:rPr>
          <w:rFonts w:ascii="Arial" w:hAnsi="Arial" w:cs="Arial"/>
          <w:sz w:val="24"/>
          <w:szCs w:val="24"/>
        </w:rPr>
        <w:t>credit-worthiness</w:t>
      </w:r>
      <w:proofErr w:type="gramEnd"/>
      <w:r w:rsidRPr="00460D4E">
        <w:rPr>
          <w:rFonts w:ascii="Arial" w:hAnsi="Arial" w:cs="Arial"/>
          <w:sz w:val="24"/>
          <w:szCs w:val="24"/>
        </w:rPr>
        <w:t xml:space="preserve"> of deposit takers using appropriate external sources of information</w:t>
      </w:r>
      <w:r w:rsidR="006B1899" w:rsidRPr="00460D4E">
        <w:rPr>
          <w:rFonts w:ascii="Arial" w:hAnsi="Arial" w:cs="Arial"/>
          <w:sz w:val="24"/>
          <w:szCs w:val="24"/>
        </w:rPr>
        <w:t>, as defined in appendix B</w:t>
      </w:r>
      <w:r w:rsidRPr="00460D4E">
        <w:rPr>
          <w:rFonts w:ascii="Arial" w:hAnsi="Arial" w:cs="Arial"/>
          <w:sz w:val="24"/>
          <w:szCs w:val="24"/>
        </w:rPr>
        <w:t>.</w:t>
      </w:r>
    </w:p>
    <w:p w14:paraId="30A954E4" w14:textId="77777777" w:rsidR="00397F09" w:rsidRPr="00460D4E" w:rsidRDefault="00397F09" w:rsidP="00460D4E">
      <w:pPr>
        <w:spacing w:after="0" w:line="276" w:lineRule="auto"/>
        <w:rPr>
          <w:rFonts w:ascii="Arial" w:hAnsi="Arial" w:cs="Arial"/>
          <w:sz w:val="24"/>
          <w:szCs w:val="24"/>
        </w:rPr>
      </w:pPr>
    </w:p>
    <w:p w14:paraId="6B2A7017" w14:textId="710D196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The princip</w:t>
      </w:r>
      <w:r w:rsidR="007B02D2" w:rsidRPr="00460D4E">
        <w:rPr>
          <w:rFonts w:ascii="Arial" w:hAnsi="Arial" w:cs="Arial"/>
          <w:sz w:val="24"/>
          <w:szCs w:val="24"/>
        </w:rPr>
        <w:t>al</w:t>
      </w:r>
      <w:r w:rsidRPr="00460D4E">
        <w:rPr>
          <w:rFonts w:ascii="Arial" w:hAnsi="Arial" w:cs="Arial"/>
          <w:sz w:val="24"/>
          <w:szCs w:val="24"/>
        </w:rPr>
        <w:t xml:space="preserve"> factor governing the exposure of surplus funds to interest rate movements is the University’s cash flow forecast. Where surplus funds are required to meet possible cash outflows </w:t>
      </w:r>
      <w:proofErr w:type="gramStart"/>
      <w:r w:rsidRPr="00460D4E">
        <w:rPr>
          <w:rFonts w:ascii="Arial" w:hAnsi="Arial" w:cs="Arial"/>
          <w:sz w:val="24"/>
          <w:szCs w:val="24"/>
        </w:rPr>
        <w:t xml:space="preserve">in the near </w:t>
      </w:r>
      <w:r w:rsidR="007B02D2" w:rsidRPr="00460D4E">
        <w:rPr>
          <w:rFonts w:ascii="Arial" w:hAnsi="Arial" w:cs="Arial"/>
          <w:sz w:val="24"/>
          <w:szCs w:val="24"/>
        </w:rPr>
        <w:t>future</w:t>
      </w:r>
      <w:proofErr w:type="gramEnd"/>
      <w:r w:rsidR="007B02D2" w:rsidRPr="00460D4E">
        <w:rPr>
          <w:rFonts w:ascii="Arial" w:hAnsi="Arial" w:cs="Arial"/>
          <w:sz w:val="24"/>
          <w:szCs w:val="24"/>
        </w:rPr>
        <w:t>,</w:t>
      </w:r>
      <w:r w:rsidRPr="00460D4E">
        <w:rPr>
          <w:rFonts w:ascii="Arial" w:hAnsi="Arial" w:cs="Arial"/>
          <w:sz w:val="24"/>
          <w:szCs w:val="24"/>
        </w:rPr>
        <w:t xml:space="preserve"> they will necessarily be deposited short term for periods which will ensure that funds are available</w:t>
      </w:r>
      <w:r w:rsidR="006B1899" w:rsidRPr="00460D4E">
        <w:rPr>
          <w:rFonts w:ascii="Arial" w:hAnsi="Arial" w:cs="Arial"/>
          <w:sz w:val="24"/>
          <w:szCs w:val="24"/>
        </w:rPr>
        <w:t xml:space="preserve"> or instruments which are liquid</w:t>
      </w:r>
      <w:r w:rsidRPr="00460D4E">
        <w:rPr>
          <w:rFonts w:ascii="Arial" w:hAnsi="Arial" w:cs="Arial"/>
          <w:sz w:val="24"/>
          <w:szCs w:val="24"/>
        </w:rPr>
        <w:t>.</w:t>
      </w:r>
    </w:p>
    <w:p w14:paraId="561B0436" w14:textId="77777777" w:rsidR="00397F09" w:rsidRPr="00460D4E" w:rsidRDefault="00397F09" w:rsidP="00460D4E">
      <w:pPr>
        <w:spacing w:after="0" w:line="276" w:lineRule="auto"/>
        <w:ind w:left="720"/>
        <w:rPr>
          <w:rFonts w:ascii="Arial" w:hAnsi="Arial" w:cs="Arial"/>
          <w:sz w:val="24"/>
          <w:szCs w:val="24"/>
        </w:rPr>
      </w:pPr>
    </w:p>
    <w:p w14:paraId="657D6E25" w14:textId="77777777" w:rsidR="00397F09" w:rsidRPr="00460D4E" w:rsidRDefault="00E45D24" w:rsidP="00460D4E">
      <w:pPr>
        <w:spacing w:after="0" w:line="276" w:lineRule="auto"/>
        <w:ind w:left="720"/>
        <w:rPr>
          <w:rFonts w:ascii="Arial" w:hAnsi="Arial" w:cs="Arial"/>
          <w:sz w:val="24"/>
          <w:szCs w:val="24"/>
        </w:rPr>
      </w:pPr>
      <w:r w:rsidRPr="00460D4E">
        <w:rPr>
          <w:rFonts w:ascii="Arial" w:hAnsi="Arial" w:cs="Arial"/>
          <w:sz w:val="24"/>
          <w:szCs w:val="24"/>
        </w:rPr>
        <w:t>The Group</w:t>
      </w:r>
      <w:r w:rsidR="00397F09" w:rsidRPr="00460D4E">
        <w:rPr>
          <w:rFonts w:ascii="Arial" w:hAnsi="Arial" w:cs="Arial"/>
          <w:sz w:val="24"/>
          <w:szCs w:val="24"/>
        </w:rPr>
        <w:t xml:space="preserve"> requires its officers to pay appropriate regard to relevant corporate governance, social, </w:t>
      </w:r>
      <w:proofErr w:type="gramStart"/>
      <w:r w:rsidR="00397F09" w:rsidRPr="00460D4E">
        <w:rPr>
          <w:rFonts w:ascii="Arial" w:hAnsi="Arial" w:cs="Arial"/>
          <w:sz w:val="24"/>
          <w:szCs w:val="24"/>
        </w:rPr>
        <w:t>ethical</w:t>
      </w:r>
      <w:proofErr w:type="gramEnd"/>
      <w:r w:rsidR="00397F09" w:rsidRPr="00460D4E">
        <w:rPr>
          <w:rFonts w:ascii="Arial" w:hAnsi="Arial" w:cs="Arial"/>
          <w:sz w:val="24"/>
          <w:szCs w:val="24"/>
        </w:rPr>
        <w:t xml:space="preserve"> and environmental considerations in the selection, retention, and realisation of all treasury investments. The Strategy and </w:t>
      </w:r>
      <w:r w:rsidR="00397F09" w:rsidRPr="00460D4E">
        <w:rPr>
          <w:rFonts w:ascii="Arial" w:hAnsi="Arial" w:cs="Arial"/>
          <w:sz w:val="24"/>
          <w:szCs w:val="24"/>
        </w:rPr>
        <w:lastRenderedPageBreak/>
        <w:t>Finance Committee</w:t>
      </w:r>
      <w:r w:rsidR="00397F09" w:rsidRPr="00460D4E">
        <w:rPr>
          <w:rFonts w:ascii="Arial" w:hAnsi="Arial" w:cs="Arial"/>
          <w:b/>
          <w:sz w:val="24"/>
          <w:szCs w:val="24"/>
        </w:rPr>
        <w:t xml:space="preserve"> </w:t>
      </w:r>
      <w:r w:rsidR="00397F09" w:rsidRPr="00460D4E">
        <w:rPr>
          <w:rFonts w:ascii="Arial" w:hAnsi="Arial" w:cs="Arial"/>
          <w:sz w:val="24"/>
          <w:szCs w:val="24"/>
        </w:rPr>
        <w:t>expects this to be done in a manner which i</w:t>
      </w:r>
      <w:r w:rsidRPr="00460D4E">
        <w:rPr>
          <w:rFonts w:ascii="Arial" w:hAnsi="Arial" w:cs="Arial"/>
          <w:sz w:val="24"/>
          <w:szCs w:val="24"/>
        </w:rPr>
        <w:t>s consistent with the Group</w:t>
      </w:r>
      <w:r w:rsidR="00397F09" w:rsidRPr="00460D4E">
        <w:rPr>
          <w:rFonts w:ascii="Arial" w:hAnsi="Arial" w:cs="Arial"/>
          <w:sz w:val="24"/>
          <w:szCs w:val="24"/>
        </w:rPr>
        <w:t>’s investment objectives</w:t>
      </w:r>
      <w:r w:rsidR="008D23EF" w:rsidRPr="00460D4E">
        <w:rPr>
          <w:rFonts w:ascii="Arial" w:hAnsi="Arial" w:cs="Arial"/>
          <w:sz w:val="24"/>
          <w:szCs w:val="24"/>
        </w:rPr>
        <w:t xml:space="preserve">, </w:t>
      </w:r>
      <w:proofErr w:type="gramStart"/>
      <w:r w:rsidR="008D23EF" w:rsidRPr="00460D4E">
        <w:rPr>
          <w:rFonts w:ascii="Arial" w:hAnsi="Arial" w:cs="Arial"/>
          <w:sz w:val="24"/>
          <w:szCs w:val="24"/>
        </w:rPr>
        <w:t>values</w:t>
      </w:r>
      <w:proofErr w:type="gramEnd"/>
      <w:r w:rsidR="00397F09" w:rsidRPr="00460D4E">
        <w:rPr>
          <w:rFonts w:ascii="Arial" w:hAnsi="Arial" w:cs="Arial"/>
          <w:sz w:val="24"/>
          <w:szCs w:val="24"/>
        </w:rPr>
        <w:t xml:space="preserve"> and legal duties.</w:t>
      </w:r>
    </w:p>
    <w:p w14:paraId="17F77C2D" w14:textId="77777777" w:rsidR="00397F09" w:rsidRPr="00460D4E" w:rsidRDefault="00397F09" w:rsidP="00460D4E">
      <w:pPr>
        <w:spacing w:after="0" w:line="276" w:lineRule="auto"/>
        <w:ind w:left="720"/>
        <w:rPr>
          <w:rFonts w:ascii="Arial" w:hAnsi="Arial" w:cs="Arial"/>
          <w:sz w:val="24"/>
          <w:szCs w:val="24"/>
        </w:rPr>
      </w:pPr>
    </w:p>
    <w:p w14:paraId="0C63920F" w14:textId="77777777" w:rsidR="00397F09" w:rsidRPr="00460D4E" w:rsidRDefault="00E45D24" w:rsidP="00460D4E">
      <w:pPr>
        <w:spacing w:after="0" w:line="276" w:lineRule="auto"/>
        <w:ind w:left="720"/>
        <w:rPr>
          <w:rFonts w:ascii="Arial" w:hAnsi="Arial" w:cs="Arial"/>
          <w:sz w:val="24"/>
          <w:szCs w:val="24"/>
        </w:rPr>
      </w:pPr>
      <w:r w:rsidRPr="00460D4E">
        <w:rPr>
          <w:rFonts w:ascii="Arial" w:hAnsi="Arial" w:cs="Arial"/>
          <w:sz w:val="24"/>
          <w:szCs w:val="24"/>
        </w:rPr>
        <w:t>The Group</w:t>
      </w:r>
      <w:r w:rsidR="00397F09" w:rsidRPr="00460D4E">
        <w:rPr>
          <w:rFonts w:ascii="Arial" w:hAnsi="Arial" w:cs="Arial"/>
          <w:sz w:val="24"/>
          <w:szCs w:val="24"/>
        </w:rPr>
        <w:t xml:space="preserve"> is also to seek adequate assurance from its depositors that they satisfy these ethical requirements.</w:t>
      </w:r>
    </w:p>
    <w:p w14:paraId="62E6F668" w14:textId="77777777" w:rsidR="00BB1C3A" w:rsidRPr="00460D4E" w:rsidRDefault="00BB1C3A" w:rsidP="00460D4E">
      <w:pPr>
        <w:spacing w:after="0" w:line="276" w:lineRule="auto"/>
        <w:ind w:left="720"/>
        <w:rPr>
          <w:rFonts w:ascii="Arial" w:hAnsi="Arial" w:cs="Arial"/>
          <w:sz w:val="24"/>
          <w:szCs w:val="24"/>
        </w:rPr>
      </w:pPr>
    </w:p>
    <w:p w14:paraId="61D11F77" w14:textId="20BC7DA4" w:rsidR="007B1F0A" w:rsidRDefault="00BB1C3A" w:rsidP="00460D4E">
      <w:pPr>
        <w:spacing w:after="0" w:line="276" w:lineRule="auto"/>
        <w:ind w:left="720"/>
        <w:rPr>
          <w:rFonts w:ascii="Arial" w:hAnsi="Arial" w:cs="Arial"/>
          <w:sz w:val="24"/>
          <w:szCs w:val="24"/>
        </w:rPr>
      </w:pPr>
      <w:r w:rsidRPr="00460D4E">
        <w:rPr>
          <w:rFonts w:ascii="Arial" w:hAnsi="Arial" w:cs="Arial"/>
          <w:sz w:val="24"/>
          <w:szCs w:val="24"/>
        </w:rPr>
        <w:t xml:space="preserve">The portfolio of investments will be such that at no time should more than </w:t>
      </w:r>
      <w:r w:rsidR="007B02D2" w:rsidRPr="00553166">
        <w:rPr>
          <w:rFonts w:ascii="Arial" w:hAnsi="Arial" w:cs="Arial"/>
          <w:b/>
          <w:bCs/>
          <w:sz w:val="24"/>
          <w:szCs w:val="24"/>
        </w:rPr>
        <w:t>£10,000,000</w:t>
      </w:r>
      <w:r w:rsidR="007B02D2" w:rsidRPr="00460D4E">
        <w:rPr>
          <w:rFonts w:ascii="Arial" w:hAnsi="Arial" w:cs="Arial"/>
          <w:b/>
          <w:bCs/>
          <w:sz w:val="24"/>
          <w:szCs w:val="24"/>
        </w:rPr>
        <w:t xml:space="preserve"> </w:t>
      </w:r>
      <w:r w:rsidRPr="00460D4E">
        <w:rPr>
          <w:rFonts w:ascii="Arial" w:hAnsi="Arial" w:cs="Arial"/>
          <w:sz w:val="24"/>
          <w:szCs w:val="24"/>
        </w:rPr>
        <w:t>capital be invested with any one approved institution</w:t>
      </w:r>
      <w:r w:rsidR="00026C1D" w:rsidRPr="00460D4E">
        <w:rPr>
          <w:rFonts w:ascii="Arial" w:hAnsi="Arial" w:cs="Arial"/>
          <w:sz w:val="24"/>
          <w:szCs w:val="24"/>
        </w:rPr>
        <w:t xml:space="preserve"> as defined in appendix B</w:t>
      </w:r>
      <w:r w:rsidR="008F0E42" w:rsidRPr="00460D4E">
        <w:rPr>
          <w:rFonts w:ascii="Arial" w:hAnsi="Arial" w:cs="Arial"/>
          <w:sz w:val="24"/>
          <w:szCs w:val="24"/>
        </w:rPr>
        <w:t>.</w:t>
      </w:r>
      <w:r w:rsidRPr="00460D4E">
        <w:rPr>
          <w:rFonts w:ascii="Arial" w:hAnsi="Arial" w:cs="Arial"/>
          <w:sz w:val="24"/>
          <w:szCs w:val="24"/>
        </w:rPr>
        <w:t xml:space="preserve"> These limits exclude the value of funds that may be based in general and business reserve accounts with institutions providing a basic banking service to the Group.</w:t>
      </w:r>
    </w:p>
    <w:p w14:paraId="1A041368" w14:textId="77777777" w:rsidR="00460D4E" w:rsidRPr="00460D4E" w:rsidRDefault="00460D4E" w:rsidP="00460D4E">
      <w:pPr>
        <w:spacing w:after="0" w:line="276" w:lineRule="auto"/>
        <w:ind w:left="720"/>
        <w:rPr>
          <w:rFonts w:ascii="Arial" w:hAnsi="Arial" w:cs="Arial"/>
          <w:sz w:val="24"/>
          <w:szCs w:val="24"/>
        </w:rPr>
      </w:pPr>
    </w:p>
    <w:p w14:paraId="2EB11297" w14:textId="77777777" w:rsidR="007B1F0A" w:rsidRPr="00460D4E" w:rsidRDefault="00557B16" w:rsidP="00460D4E">
      <w:pPr>
        <w:pStyle w:val="Heading2"/>
      </w:pPr>
      <w:r w:rsidRPr="00460D4E">
        <w:t>6</w:t>
      </w:r>
      <w:r w:rsidRPr="00460D4E">
        <w:tab/>
      </w:r>
      <w:r w:rsidR="007B1F0A" w:rsidRPr="00460D4E">
        <w:t>Liquidity</w:t>
      </w:r>
      <w:r w:rsidR="006851F0" w:rsidRPr="00460D4E">
        <w:t xml:space="preserve"> Risk Management</w:t>
      </w:r>
      <w:r w:rsidRPr="00460D4E">
        <w:t xml:space="preserve"> and Cash Reserves</w:t>
      </w:r>
    </w:p>
    <w:p w14:paraId="5A22F615" w14:textId="77777777" w:rsidR="00557B16" w:rsidRPr="00460D4E" w:rsidRDefault="00557B16" w:rsidP="00460D4E">
      <w:pPr>
        <w:spacing w:after="0" w:line="276" w:lineRule="auto"/>
        <w:rPr>
          <w:rFonts w:ascii="Arial" w:hAnsi="Arial" w:cs="Arial"/>
          <w:sz w:val="24"/>
          <w:szCs w:val="24"/>
        </w:rPr>
      </w:pPr>
    </w:p>
    <w:p w14:paraId="0A476B8F" w14:textId="77777777" w:rsidR="00AB5D77" w:rsidRPr="00460D4E" w:rsidRDefault="005557EC" w:rsidP="00460D4E">
      <w:pPr>
        <w:spacing w:after="0" w:line="276" w:lineRule="auto"/>
        <w:ind w:left="720"/>
        <w:rPr>
          <w:rFonts w:ascii="Arial" w:hAnsi="Arial" w:cs="Arial"/>
          <w:sz w:val="24"/>
          <w:szCs w:val="24"/>
        </w:rPr>
      </w:pPr>
      <w:r w:rsidRPr="00460D4E">
        <w:rPr>
          <w:rFonts w:ascii="Arial" w:hAnsi="Arial" w:cs="Arial"/>
          <w:sz w:val="24"/>
          <w:szCs w:val="24"/>
        </w:rPr>
        <w:t>The Group</w:t>
      </w:r>
      <w:r w:rsidR="00AB5D77" w:rsidRPr="00460D4E">
        <w:rPr>
          <w:rFonts w:ascii="Arial" w:hAnsi="Arial" w:cs="Arial"/>
          <w:sz w:val="24"/>
          <w:szCs w:val="24"/>
        </w:rPr>
        <w:t xml:space="preserve"> will ensure it has adequate cash resources, borrowing arrangements, </w:t>
      </w:r>
      <w:proofErr w:type="gramStart"/>
      <w:r w:rsidR="00557B16" w:rsidRPr="00460D4E">
        <w:rPr>
          <w:rFonts w:ascii="Arial" w:hAnsi="Arial" w:cs="Arial"/>
          <w:sz w:val="24"/>
          <w:szCs w:val="24"/>
        </w:rPr>
        <w:t>overdraf</w:t>
      </w:r>
      <w:r w:rsidR="00AB5D77" w:rsidRPr="00460D4E">
        <w:rPr>
          <w:rFonts w:ascii="Arial" w:hAnsi="Arial" w:cs="Arial"/>
          <w:sz w:val="24"/>
          <w:szCs w:val="24"/>
        </w:rPr>
        <w:t>t</w:t>
      </w:r>
      <w:proofErr w:type="gramEnd"/>
      <w:r w:rsidR="00557B16" w:rsidRPr="00460D4E">
        <w:rPr>
          <w:rFonts w:ascii="Arial" w:hAnsi="Arial" w:cs="Arial"/>
          <w:sz w:val="24"/>
          <w:szCs w:val="24"/>
        </w:rPr>
        <w:t xml:space="preserve"> </w:t>
      </w:r>
      <w:r w:rsidR="00AB5D77" w:rsidRPr="00460D4E">
        <w:rPr>
          <w:rFonts w:ascii="Arial" w:hAnsi="Arial" w:cs="Arial"/>
          <w:sz w:val="24"/>
          <w:szCs w:val="24"/>
        </w:rPr>
        <w:t>or standby facilities to enable it at all times to have the level of funds availa</w:t>
      </w:r>
      <w:r w:rsidR="00557B16" w:rsidRPr="00460D4E">
        <w:rPr>
          <w:rFonts w:ascii="Arial" w:hAnsi="Arial" w:cs="Arial"/>
          <w:sz w:val="24"/>
          <w:szCs w:val="24"/>
        </w:rPr>
        <w:t>b</w:t>
      </w:r>
      <w:r w:rsidR="00AB5D77" w:rsidRPr="00460D4E">
        <w:rPr>
          <w:rFonts w:ascii="Arial" w:hAnsi="Arial" w:cs="Arial"/>
          <w:sz w:val="24"/>
          <w:szCs w:val="24"/>
        </w:rPr>
        <w:t>le to it which are necessary for the achievement of business objectives.</w:t>
      </w:r>
    </w:p>
    <w:p w14:paraId="70F5FDF3" w14:textId="77777777" w:rsidR="00557B16" w:rsidRPr="00460D4E" w:rsidRDefault="00557B16" w:rsidP="00460D4E">
      <w:pPr>
        <w:spacing w:after="0" w:line="276" w:lineRule="auto"/>
        <w:rPr>
          <w:rFonts w:ascii="Arial" w:hAnsi="Arial" w:cs="Arial"/>
          <w:sz w:val="24"/>
          <w:szCs w:val="24"/>
        </w:rPr>
      </w:pPr>
    </w:p>
    <w:p w14:paraId="281C4B8A" w14:textId="77777777" w:rsidR="007B1F0A" w:rsidRPr="00460D4E" w:rsidRDefault="006851F0" w:rsidP="00460D4E">
      <w:pPr>
        <w:spacing w:after="0" w:line="276" w:lineRule="auto"/>
        <w:ind w:left="720"/>
        <w:rPr>
          <w:rFonts w:ascii="Arial" w:hAnsi="Arial" w:cs="Arial"/>
          <w:sz w:val="24"/>
          <w:szCs w:val="24"/>
        </w:rPr>
      </w:pPr>
      <w:r w:rsidRPr="00460D4E">
        <w:rPr>
          <w:rFonts w:ascii="Arial" w:hAnsi="Arial" w:cs="Arial"/>
          <w:sz w:val="24"/>
          <w:szCs w:val="24"/>
        </w:rPr>
        <w:t>A</w:t>
      </w:r>
      <w:r w:rsidR="007B1F0A" w:rsidRPr="00460D4E">
        <w:rPr>
          <w:rFonts w:ascii="Arial" w:hAnsi="Arial" w:cs="Arial"/>
          <w:sz w:val="24"/>
          <w:szCs w:val="24"/>
        </w:rPr>
        <w:t>n e</w:t>
      </w:r>
      <w:r w:rsidRPr="00460D4E">
        <w:rPr>
          <w:rFonts w:ascii="Arial" w:hAnsi="Arial" w:cs="Arial"/>
          <w:sz w:val="24"/>
          <w:szCs w:val="24"/>
        </w:rPr>
        <w:t>ffective</w:t>
      </w:r>
      <w:r w:rsidR="007B1F0A" w:rsidRPr="00460D4E">
        <w:rPr>
          <w:rFonts w:ascii="Arial" w:hAnsi="Arial" w:cs="Arial"/>
          <w:sz w:val="24"/>
          <w:szCs w:val="24"/>
        </w:rPr>
        <w:t xml:space="preserve"> cash flow forecasting and monitoring system</w:t>
      </w:r>
      <w:r w:rsidRPr="00460D4E">
        <w:rPr>
          <w:rFonts w:ascii="Arial" w:hAnsi="Arial" w:cs="Arial"/>
          <w:sz w:val="24"/>
          <w:szCs w:val="24"/>
        </w:rPr>
        <w:t xml:space="preserve"> is in place</w:t>
      </w:r>
      <w:r w:rsidR="00AB5D77" w:rsidRPr="00460D4E">
        <w:rPr>
          <w:rFonts w:ascii="Arial" w:hAnsi="Arial" w:cs="Arial"/>
          <w:sz w:val="24"/>
          <w:szCs w:val="24"/>
        </w:rPr>
        <w:t xml:space="preserve"> to</w:t>
      </w:r>
      <w:r w:rsidR="007B1F0A" w:rsidRPr="00460D4E">
        <w:rPr>
          <w:rFonts w:ascii="Arial" w:hAnsi="Arial" w:cs="Arial"/>
          <w:sz w:val="24"/>
          <w:szCs w:val="24"/>
        </w:rPr>
        <w:t xml:space="preserve"> id</w:t>
      </w:r>
      <w:r w:rsidR="00AB5D77" w:rsidRPr="00460D4E">
        <w:rPr>
          <w:rFonts w:ascii="Arial" w:hAnsi="Arial" w:cs="Arial"/>
          <w:sz w:val="24"/>
          <w:szCs w:val="24"/>
        </w:rPr>
        <w:t>entify</w:t>
      </w:r>
      <w:r w:rsidR="007B1F0A" w:rsidRPr="00460D4E">
        <w:rPr>
          <w:rFonts w:ascii="Arial" w:hAnsi="Arial" w:cs="Arial"/>
          <w:sz w:val="24"/>
          <w:szCs w:val="24"/>
        </w:rPr>
        <w:t xml:space="preserve"> the extent to which </w:t>
      </w:r>
      <w:r w:rsidR="00557B16" w:rsidRPr="00460D4E">
        <w:rPr>
          <w:rFonts w:ascii="Arial" w:hAnsi="Arial" w:cs="Arial"/>
          <w:sz w:val="24"/>
          <w:szCs w:val="24"/>
        </w:rPr>
        <w:t>the Group</w:t>
      </w:r>
      <w:r w:rsidR="00AB5D77" w:rsidRPr="00460D4E">
        <w:rPr>
          <w:rFonts w:ascii="Arial" w:hAnsi="Arial" w:cs="Arial"/>
          <w:sz w:val="24"/>
          <w:szCs w:val="24"/>
        </w:rPr>
        <w:t xml:space="preserve"> is exposed to</w:t>
      </w:r>
      <w:r w:rsidR="00557B16" w:rsidRPr="00460D4E">
        <w:rPr>
          <w:rFonts w:ascii="Arial" w:hAnsi="Arial" w:cs="Arial"/>
          <w:sz w:val="24"/>
          <w:szCs w:val="24"/>
        </w:rPr>
        <w:t xml:space="preserve"> the effects of</w:t>
      </w:r>
      <w:r w:rsidR="007B1F0A" w:rsidRPr="00460D4E">
        <w:rPr>
          <w:rFonts w:ascii="Arial" w:hAnsi="Arial" w:cs="Arial"/>
          <w:sz w:val="24"/>
          <w:szCs w:val="24"/>
        </w:rPr>
        <w:t xml:space="preserve"> potential cash flow variations and shortfalls</w:t>
      </w:r>
      <w:r w:rsidR="00557B16" w:rsidRPr="00460D4E">
        <w:rPr>
          <w:rFonts w:ascii="Arial" w:hAnsi="Arial" w:cs="Arial"/>
          <w:sz w:val="24"/>
          <w:szCs w:val="24"/>
        </w:rPr>
        <w:t>.</w:t>
      </w:r>
    </w:p>
    <w:p w14:paraId="608AB523" w14:textId="77777777" w:rsidR="006851F0" w:rsidRPr="00460D4E" w:rsidRDefault="006851F0" w:rsidP="00460D4E">
      <w:pPr>
        <w:spacing w:after="0" w:line="276" w:lineRule="auto"/>
        <w:rPr>
          <w:rFonts w:ascii="Arial" w:hAnsi="Arial" w:cs="Arial"/>
          <w:sz w:val="24"/>
          <w:szCs w:val="24"/>
          <w:highlight w:val="yellow"/>
        </w:rPr>
      </w:pPr>
    </w:p>
    <w:p w14:paraId="4453EEE9" w14:textId="77777777" w:rsidR="00AB5D77" w:rsidRPr="00460D4E" w:rsidRDefault="00502F0A" w:rsidP="00460D4E">
      <w:pPr>
        <w:spacing w:after="0" w:line="276" w:lineRule="auto"/>
        <w:ind w:left="720"/>
        <w:rPr>
          <w:rFonts w:ascii="Arial" w:hAnsi="Arial" w:cs="Arial"/>
          <w:sz w:val="24"/>
          <w:szCs w:val="24"/>
        </w:rPr>
      </w:pPr>
      <w:r w:rsidRPr="00460D4E">
        <w:rPr>
          <w:rFonts w:ascii="Arial" w:hAnsi="Arial" w:cs="Arial"/>
          <w:sz w:val="24"/>
          <w:szCs w:val="24"/>
        </w:rPr>
        <w:t>To allow for unforeseen liquidity requirements, t</w:t>
      </w:r>
      <w:r w:rsidR="005A05E0" w:rsidRPr="00460D4E">
        <w:rPr>
          <w:rFonts w:ascii="Arial" w:hAnsi="Arial" w:cs="Arial"/>
          <w:sz w:val="24"/>
          <w:szCs w:val="24"/>
        </w:rPr>
        <w:t>he G</w:t>
      </w:r>
      <w:r w:rsidR="00310CB0" w:rsidRPr="00460D4E">
        <w:rPr>
          <w:rFonts w:ascii="Arial" w:hAnsi="Arial" w:cs="Arial"/>
          <w:sz w:val="24"/>
          <w:szCs w:val="24"/>
        </w:rPr>
        <w:t xml:space="preserve">roup will aim to hold </w:t>
      </w:r>
      <w:r w:rsidR="00F11D52" w:rsidRPr="00460D4E">
        <w:rPr>
          <w:rFonts w:ascii="Arial" w:hAnsi="Arial" w:cs="Arial"/>
          <w:sz w:val="24"/>
          <w:szCs w:val="24"/>
        </w:rPr>
        <w:t>drawdown</w:t>
      </w:r>
      <w:r w:rsidRPr="00460D4E">
        <w:rPr>
          <w:rFonts w:ascii="Arial" w:hAnsi="Arial" w:cs="Arial"/>
          <w:sz w:val="24"/>
          <w:szCs w:val="24"/>
        </w:rPr>
        <w:t xml:space="preserve"> facilities to cover up to one month of the Group’s operating and payroll costs</w:t>
      </w:r>
      <w:r w:rsidR="006851F0" w:rsidRPr="00460D4E">
        <w:rPr>
          <w:rFonts w:ascii="Arial" w:hAnsi="Arial" w:cs="Arial"/>
          <w:sz w:val="24"/>
          <w:szCs w:val="24"/>
        </w:rPr>
        <w:t>.</w:t>
      </w:r>
      <w:r w:rsidRPr="00460D4E">
        <w:rPr>
          <w:rFonts w:ascii="Arial" w:hAnsi="Arial" w:cs="Arial"/>
          <w:sz w:val="24"/>
          <w:szCs w:val="24"/>
        </w:rPr>
        <w:t xml:space="preserve"> This is currently</w:t>
      </w:r>
      <w:r w:rsidR="00AB5D77" w:rsidRPr="00460D4E">
        <w:rPr>
          <w:rFonts w:ascii="Arial" w:hAnsi="Arial" w:cs="Arial"/>
          <w:sz w:val="24"/>
          <w:szCs w:val="24"/>
        </w:rPr>
        <w:t xml:space="preserve"> around £</w:t>
      </w:r>
      <w:r w:rsidR="00F11D52" w:rsidRPr="00460D4E">
        <w:rPr>
          <w:rFonts w:ascii="Arial" w:hAnsi="Arial" w:cs="Arial"/>
          <w:sz w:val="24"/>
          <w:szCs w:val="24"/>
        </w:rPr>
        <w:t xml:space="preserve">3 million. </w:t>
      </w:r>
      <w:r w:rsidR="004B634A" w:rsidRPr="00460D4E">
        <w:rPr>
          <w:rFonts w:ascii="Arial" w:hAnsi="Arial" w:cs="Arial"/>
          <w:sz w:val="24"/>
          <w:szCs w:val="24"/>
        </w:rPr>
        <w:t>However, t</w:t>
      </w:r>
      <w:r w:rsidR="00B22C9A" w:rsidRPr="00460D4E">
        <w:rPr>
          <w:rFonts w:ascii="Arial" w:hAnsi="Arial" w:cs="Arial"/>
          <w:sz w:val="24"/>
          <w:szCs w:val="24"/>
        </w:rPr>
        <w:t>he Group will aim to minimise the u</w:t>
      </w:r>
      <w:r w:rsidR="00F11D52" w:rsidRPr="00460D4E">
        <w:rPr>
          <w:rFonts w:ascii="Arial" w:hAnsi="Arial" w:cs="Arial"/>
          <w:sz w:val="24"/>
          <w:szCs w:val="24"/>
        </w:rPr>
        <w:t>se of any drawdown</w:t>
      </w:r>
      <w:r w:rsidR="00B22C9A" w:rsidRPr="00460D4E">
        <w:rPr>
          <w:rFonts w:ascii="Arial" w:hAnsi="Arial" w:cs="Arial"/>
          <w:sz w:val="24"/>
          <w:szCs w:val="24"/>
        </w:rPr>
        <w:t xml:space="preserve"> facility as much as </w:t>
      </w:r>
      <w:r w:rsidR="001E0D54" w:rsidRPr="00460D4E">
        <w:rPr>
          <w:rFonts w:ascii="Arial" w:hAnsi="Arial" w:cs="Arial"/>
          <w:sz w:val="24"/>
          <w:szCs w:val="24"/>
        </w:rPr>
        <w:t xml:space="preserve">is </w:t>
      </w:r>
      <w:r w:rsidR="00EB48A3" w:rsidRPr="00460D4E">
        <w:rPr>
          <w:rFonts w:ascii="Arial" w:hAnsi="Arial" w:cs="Arial"/>
          <w:sz w:val="24"/>
          <w:szCs w:val="24"/>
        </w:rPr>
        <w:t>practicable</w:t>
      </w:r>
      <w:r w:rsidR="00B22C9A" w:rsidRPr="00460D4E">
        <w:rPr>
          <w:rFonts w:ascii="Arial" w:hAnsi="Arial" w:cs="Arial"/>
          <w:sz w:val="24"/>
          <w:szCs w:val="24"/>
        </w:rPr>
        <w:t xml:space="preserve"> by holding sufficie</w:t>
      </w:r>
      <w:r w:rsidR="00952434" w:rsidRPr="00460D4E">
        <w:rPr>
          <w:rFonts w:ascii="Arial" w:hAnsi="Arial" w:cs="Arial"/>
          <w:sz w:val="24"/>
          <w:szCs w:val="24"/>
        </w:rPr>
        <w:t>nt cash reserves</w:t>
      </w:r>
      <w:r w:rsidR="00B22C9A" w:rsidRPr="00460D4E">
        <w:rPr>
          <w:rFonts w:ascii="Arial" w:hAnsi="Arial" w:cs="Arial"/>
          <w:sz w:val="24"/>
          <w:szCs w:val="24"/>
        </w:rPr>
        <w:t xml:space="preserve"> with the University’s main banker. </w:t>
      </w:r>
    </w:p>
    <w:p w14:paraId="63012966" w14:textId="77777777" w:rsidR="00397F09" w:rsidRPr="00460D4E" w:rsidRDefault="00397F09" w:rsidP="00460D4E">
      <w:pPr>
        <w:spacing w:after="0" w:line="276" w:lineRule="auto"/>
        <w:rPr>
          <w:rFonts w:ascii="Arial" w:hAnsi="Arial" w:cs="Arial"/>
          <w:sz w:val="24"/>
          <w:szCs w:val="24"/>
        </w:rPr>
      </w:pPr>
    </w:p>
    <w:p w14:paraId="3E9E1635" w14:textId="03832AFA" w:rsidR="00557B16" w:rsidRPr="00460D4E" w:rsidRDefault="005A05E0" w:rsidP="00460D4E">
      <w:pPr>
        <w:spacing w:after="0" w:line="276" w:lineRule="auto"/>
        <w:ind w:left="720"/>
        <w:rPr>
          <w:rFonts w:ascii="Arial" w:hAnsi="Arial" w:cs="Arial"/>
          <w:sz w:val="24"/>
          <w:szCs w:val="24"/>
        </w:rPr>
      </w:pPr>
      <w:r w:rsidRPr="00460D4E">
        <w:rPr>
          <w:rFonts w:ascii="Arial" w:hAnsi="Arial" w:cs="Arial"/>
          <w:sz w:val="24"/>
          <w:szCs w:val="24"/>
        </w:rPr>
        <w:t>The amount of funds</w:t>
      </w:r>
      <w:r w:rsidR="00B22C9A" w:rsidRPr="00460D4E">
        <w:rPr>
          <w:rFonts w:ascii="Arial" w:hAnsi="Arial" w:cs="Arial"/>
          <w:sz w:val="24"/>
          <w:szCs w:val="24"/>
        </w:rPr>
        <w:t xml:space="preserve"> available</w:t>
      </w:r>
      <w:r w:rsidR="00557B16" w:rsidRPr="00460D4E">
        <w:rPr>
          <w:rFonts w:ascii="Arial" w:hAnsi="Arial" w:cs="Arial"/>
          <w:sz w:val="24"/>
          <w:szCs w:val="24"/>
        </w:rPr>
        <w:t xml:space="preserve"> will be regularly reviewed and compared against the target level. Shortfalls will be investigated</w:t>
      </w:r>
      <w:r w:rsidR="007B02D2" w:rsidRPr="00460D4E">
        <w:rPr>
          <w:rFonts w:ascii="Arial" w:hAnsi="Arial" w:cs="Arial"/>
          <w:sz w:val="24"/>
          <w:szCs w:val="24"/>
        </w:rPr>
        <w:t>,</w:t>
      </w:r>
      <w:r w:rsidR="00557B16" w:rsidRPr="00460D4E">
        <w:rPr>
          <w:rFonts w:ascii="Arial" w:hAnsi="Arial" w:cs="Arial"/>
          <w:sz w:val="24"/>
          <w:szCs w:val="24"/>
        </w:rPr>
        <w:t xml:space="preserve"> and actions taken to bring reserves in line with target.</w:t>
      </w:r>
    </w:p>
    <w:p w14:paraId="51C6B529" w14:textId="77777777" w:rsidR="00557B16" w:rsidRPr="00460D4E" w:rsidRDefault="00557B16" w:rsidP="00460D4E">
      <w:pPr>
        <w:spacing w:after="0" w:line="276" w:lineRule="auto"/>
        <w:rPr>
          <w:rFonts w:ascii="Arial" w:hAnsi="Arial" w:cs="Arial"/>
          <w:sz w:val="24"/>
          <w:szCs w:val="24"/>
        </w:rPr>
      </w:pPr>
    </w:p>
    <w:p w14:paraId="391D21CD" w14:textId="7DF4031B" w:rsidR="008F0E42" w:rsidRDefault="00B22C9A" w:rsidP="00460D4E">
      <w:pPr>
        <w:spacing w:after="0" w:line="276" w:lineRule="auto"/>
        <w:ind w:left="720"/>
        <w:rPr>
          <w:rFonts w:ascii="Arial" w:hAnsi="Arial" w:cs="Arial"/>
          <w:sz w:val="24"/>
          <w:szCs w:val="24"/>
        </w:rPr>
      </w:pPr>
      <w:r w:rsidRPr="00460D4E">
        <w:rPr>
          <w:rFonts w:ascii="Arial" w:hAnsi="Arial" w:cs="Arial"/>
          <w:sz w:val="24"/>
          <w:szCs w:val="24"/>
        </w:rPr>
        <w:t>The target level of available funds</w:t>
      </w:r>
      <w:r w:rsidR="00557B16" w:rsidRPr="00460D4E">
        <w:rPr>
          <w:rFonts w:ascii="Arial" w:hAnsi="Arial" w:cs="Arial"/>
          <w:sz w:val="24"/>
          <w:szCs w:val="24"/>
        </w:rPr>
        <w:t xml:space="preserve"> held will be reviewed following significant changes in funding, financial </w:t>
      </w:r>
      <w:proofErr w:type="gramStart"/>
      <w:r w:rsidR="00557B16" w:rsidRPr="00460D4E">
        <w:rPr>
          <w:rFonts w:ascii="Arial" w:hAnsi="Arial" w:cs="Arial"/>
          <w:sz w:val="24"/>
          <w:szCs w:val="24"/>
        </w:rPr>
        <w:t>climate</w:t>
      </w:r>
      <w:proofErr w:type="gramEnd"/>
      <w:r w:rsidR="00557B16" w:rsidRPr="00460D4E">
        <w:rPr>
          <w:rFonts w:ascii="Arial" w:hAnsi="Arial" w:cs="Arial"/>
          <w:sz w:val="24"/>
          <w:szCs w:val="24"/>
        </w:rPr>
        <w:t xml:space="preserve"> or other risks.</w:t>
      </w:r>
    </w:p>
    <w:p w14:paraId="07B94450" w14:textId="77777777" w:rsidR="00460D4E" w:rsidRPr="00460D4E" w:rsidRDefault="00460D4E" w:rsidP="00460D4E">
      <w:pPr>
        <w:spacing w:after="0" w:line="276" w:lineRule="auto"/>
        <w:ind w:left="720"/>
        <w:rPr>
          <w:rFonts w:ascii="Arial" w:hAnsi="Arial" w:cs="Arial"/>
          <w:sz w:val="24"/>
          <w:szCs w:val="24"/>
        </w:rPr>
      </w:pPr>
    </w:p>
    <w:p w14:paraId="2DA69322" w14:textId="77777777" w:rsidR="00397F09" w:rsidRPr="00460D4E" w:rsidRDefault="005557EC" w:rsidP="00460D4E">
      <w:pPr>
        <w:pStyle w:val="Heading2"/>
      </w:pPr>
      <w:r w:rsidRPr="00460D4E">
        <w:t>7</w:t>
      </w:r>
      <w:r w:rsidR="00397F09" w:rsidRPr="00460D4E">
        <w:tab/>
        <w:t>Legal Issues</w:t>
      </w:r>
    </w:p>
    <w:p w14:paraId="6A675B23" w14:textId="77777777" w:rsidR="00397F09" w:rsidRPr="00460D4E" w:rsidRDefault="00397F09" w:rsidP="00460D4E">
      <w:pPr>
        <w:spacing w:after="0" w:line="276" w:lineRule="auto"/>
        <w:rPr>
          <w:rFonts w:ascii="Arial" w:hAnsi="Arial" w:cs="Arial"/>
          <w:sz w:val="24"/>
          <w:szCs w:val="24"/>
        </w:rPr>
      </w:pPr>
    </w:p>
    <w:p w14:paraId="61888281" w14:textId="2F89C522" w:rsidR="00C23012"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Prior to </w:t>
      </w:r>
      <w:proofErr w:type="gramStart"/>
      <w:r w:rsidRPr="00460D4E">
        <w:rPr>
          <w:rFonts w:ascii="Arial" w:hAnsi="Arial" w:cs="Arial"/>
          <w:sz w:val="24"/>
          <w:szCs w:val="24"/>
        </w:rPr>
        <w:t>entering into</w:t>
      </w:r>
      <w:proofErr w:type="gramEnd"/>
      <w:r w:rsidRPr="00460D4E">
        <w:rPr>
          <w:rFonts w:ascii="Arial" w:hAnsi="Arial" w:cs="Arial"/>
          <w:sz w:val="24"/>
          <w:szCs w:val="24"/>
        </w:rPr>
        <w:t xml:space="preserve"> any borrowing or investment transaction it is the responsibility of the </w:t>
      </w:r>
      <w:r w:rsidR="008F0E42" w:rsidRPr="00460D4E">
        <w:rPr>
          <w:rFonts w:ascii="Arial" w:hAnsi="Arial" w:cs="Arial"/>
          <w:sz w:val="24"/>
          <w:szCs w:val="24"/>
        </w:rPr>
        <w:t xml:space="preserve">Executive </w:t>
      </w:r>
      <w:r w:rsidRPr="00460D4E">
        <w:rPr>
          <w:rFonts w:ascii="Arial" w:hAnsi="Arial" w:cs="Arial"/>
          <w:sz w:val="24"/>
          <w:szCs w:val="24"/>
        </w:rPr>
        <w:t>Director of Finance to satisfy him</w:t>
      </w:r>
      <w:r w:rsidR="00461FCF" w:rsidRPr="00460D4E">
        <w:rPr>
          <w:rFonts w:ascii="Arial" w:hAnsi="Arial" w:cs="Arial"/>
          <w:sz w:val="24"/>
          <w:szCs w:val="24"/>
        </w:rPr>
        <w:t>/her</w:t>
      </w:r>
      <w:r w:rsidRPr="00460D4E">
        <w:rPr>
          <w:rFonts w:ascii="Arial" w:hAnsi="Arial" w:cs="Arial"/>
          <w:sz w:val="24"/>
          <w:szCs w:val="24"/>
        </w:rPr>
        <w:t>self by referenc</w:t>
      </w:r>
      <w:r w:rsidR="00E24424" w:rsidRPr="00460D4E">
        <w:rPr>
          <w:rFonts w:ascii="Arial" w:hAnsi="Arial" w:cs="Arial"/>
          <w:sz w:val="24"/>
          <w:szCs w:val="24"/>
        </w:rPr>
        <w:t>e if necessary to the Group</w:t>
      </w:r>
      <w:r w:rsidRPr="00460D4E">
        <w:rPr>
          <w:rFonts w:ascii="Arial" w:hAnsi="Arial" w:cs="Arial"/>
          <w:sz w:val="24"/>
          <w:szCs w:val="24"/>
        </w:rPr>
        <w:t>’s legal advisers</w:t>
      </w:r>
      <w:r w:rsidR="00BB1C3A" w:rsidRPr="00460D4E">
        <w:rPr>
          <w:rFonts w:ascii="Arial" w:hAnsi="Arial" w:cs="Arial"/>
          <w:sz w:val="24"/>
          <w:szCs w:val="24"/>
        </w:rPr>
        <w:t>,</w:t>
      </w:r>
      <w:r w:rsidRPr="00460D4E">
        <w:rPr>
          <w:rFonts w:ascii="Arial" w:hAnsi="Arial" w:cs="Arial"/>
          <w:sz w:val="24"/>
          <w:szCs w:val="24"/>
        </w:rPr>
        <w:t xml:space="preserve"> that the proposed transaction does not breach any statute, the </w:t>
      </w:r>
      <w:r w:rsidR="00E24424" w:rsidRPr="00460D4E">
        <w:rPr>
          <w:rFonts w:ascii="Arial" w:hAnsi="Arial" w:cs="Arial"/>
          <w:sz w:val="24"/>
          <w:szCs w:val="24"/>
        </w:rPr>
        <w:t>Group</w:t>
      </w:r>
      <w:r w:rsidRPr="00460D4E">
        <w:rPr>
          <w:rFonts w:ascii="Arial" w:hAnsi="Arial" w:cs="Arial"/>
          <w:sz w:val="24"/>
          <w:szCs w:val="24"/>
        </w:rPr>
        <w:t xml:space="preserve">’s financial regulations, or the requirements of the financial memorandum with Higher Education Funding Council for Wales. </w:t>
      </w:r>
    </w:p>
    <w:p w14:paraId="1AC672A7" w14:textId="77777777" w:rsidR="00460D4E" w:rsidRDefault="00460D4E">
      <w:pPr>
        <w:rPr>
          <w:rFonts w:ascii="Arial" w:eastAsiaTheme="majorEastAsia" w:hAnsi="Arial" w:cstheme="majorBidi"/>
          <w:b/>
          <w:sz w:val="24"/>
          <w:szCs w:val="32"/>
        </w:rPr>
      </w:pPr>
      <w:r>
        <w:br w:type="page"/>
      </w:r>
    </w:p>
    <w:p w14:paraId="4D0366D4" w14:textId="535C661E" w:rsidR="00397F09" w:rsidRPr="00460D4E" w:rsidRDefault="005557EC" w:rsidP="00460D4E">
      <w:pPr>
        <w:pStyle w:val="Heading2"/>
      </w:pPr>
      <w:r w:rsidRPr="00460D4E">
        <w:lastRenderedPageBreak/>
        <w:t>8</w:t>
      </w:r>
      <w:r w:rsidR="00397F09" w:rsidRPr="00460D4E">
        <w:tab/>
        <w:t>Use of External Managers</w:t>
      </w:r>
    </w:p>
    <w:p w14:paraId="168CB64C" w14:textId="77777777" w:rsidR="00397F09" w:rsidRPr="00460D4E" w:rsidRDefault="00397F09" w:rsidP="00460D4E">
      <w:pPr>
        <w:spacing w:after="0" w:line="276" w:lineRule="auto"/>
        <w:rPr>
          <w:rFonts w:ascii="Arial" w:hAnsi="Arial" w:cs="Arial"/>
          <w:sz w:val="24"/>
          <w:szCs w:val="24"/>
        </w:rPr>
      </w:pPr>
    </w:p>
    <w:p w14:paraId="6AF3120B" w14:textId="6AE16847" w:rsidR="00397F09" w:rsidRDefault="00E24424" w:rsidP="00460D4E">
      <w:pPr>
        <w:spacing w:after="0" w:line="276" w:lineRule="auto"/>
        <w:ind w:left="720"/>
        <w:rPr>
          <w:rFonts w:ascii="Arial" w:hAnsi="Arial" w:cs="Arial"/>
          <w:sz w:val="24"/>
          <w:szCs w:val="24"/>
        </w:rPr>
      </w:pPr>
      <w:r w:rsidRPr="00460D4E">
        <w:rPr>
          <w:rFonts w:ascii="Arial" w:hAnsi="Arial" w:cs="Arial"/>
          <w:sz w:val="24"/>
          <w:szCs w:val="24"/>
        </w:rPr>
        <w:t>The Group</w:t>
      </w:r>
      <w:r w:rsidR="00397F09" w:rsidRPr="00460D4E">
        <w:rPr>
          <w:rFonts w:ascii="Arial" w:hAnsi="Arial" w:cs="Arial"/>
          <w:sz w:val="24"/>
          <w:szCs w:val="24"/>
        </w:rPr>
        <w:t xml:space="preserve"> may appoint external managers of its </w:t>
      </w:r>
      <w:r w:rsidR="007B02D2" w:rsidRPr="00460D4E">
        <w:rPr>
          <w:rFonts w:ascii="Arial" w:hAnsi="Arial" w:cs="Arial"/>
          <w:sz w:val="24"/>
          <w:szCs w:val="24"/>
        </w:rPr>
        <w:t>short-term</w:t>
      </w:r>
      <w:r w:rsidR="00397F09" w:rsidRPr="00460D4E">
        <w:rPr>
          <w:rFonts w:ascii="Arial" w:hAnsi="Arial" w:cs="Arial"/>
          <w:sz w:val="24"/>
          <w:szCs w:val="24"/>
        </w:rPr>
        <w:t xml:space="preserve"> deposits. Their terms of engagement are subject to approval by the Strategy and Finance Committee and will be subject to annual review</w:t>
      </w:r>
      <w:r w:rsidR="00E2356C" w:rsidRPr="00460D4E">
        <w:rPr>
          <w:rFonts w:ascii="Arial" w:hAnsi="Arial" w:cs="Arial"/>
          <w:sz w:val="24"/>
          <w:szCs w:val="24"/>
        </w:rPr>
        <w:t>, as delegated in Appendix D</w:t>
      </w:r>
      <w:r w:rsidR="00397F09" w:rsidRPr="00460D4E">
        <w:rPr>
          <w:rFonts w:ascii="Arial" w:hAnsi="Arial" w:cs="Arial"/>
          <w:sz w:val="24"/>
          <w:szCs w:val="24"/>
        </w:rPr>
        <w:t>.</w:t>
      </w:r>
    </w:p>
    <w:p w14:paraId="6D5A7B13" w14:textId="77777777" w:rsidR="00460D4E" w:rsidRPr="00460D4E" w:rsidRDefault="00460D4E" w:rsidP="00460D4E">
      <w:pPr>
        <w:spacing w:after="0" w:line="276" w:lineRule="auto"/>
        <w:ind w:left="720"/>
        <w:rPr>
          <w:rFonts w:ascii="Arial" w:hAnsi="Arial" w:cs="Arial"/>
          <w:sz w:val="24"/>
          <w:szCs w:val="24"/>
        </w:rPr>
      </w:pPr>
    </w:p>
    <w:p w14:paraId="0A082D6E" w14:textId="77777777" w:rsidR="00397F09" w:rsidRPr="00460D4E" w:rsidRDefault="005557EC" w:rsidP="00460D4E">
      <w:pPr>
        <w:pStyle w:val="Heading2"/>
      </w:pPr>
      <w:r w:rsidRPr="00460D4E">
        <w:t>9</w:t>
      </w:r>
      <w:r w:rsidR="00397F09" w:rsidRPr="00460D4E">
        <w:tab/>
        <w:t>Delegation</w:t>
      </w:r>
    </w:p>
    <w:p w14:paraId="76C38B22" w14:textId="77777777" w:rsidR="00397F09" w:rsidRPr="00460D4E" w:rsidRDefault="00397F09" w:rsidP="00460D4E">
      <w:pPr>
        <w:spacing w:after="0" w:line="276" w:lineRule="auto"/>
        <w:rPr>
          <w:rFonts w:ascii="Arial" w:hAnsi="Arial" w:cs="Arial"/>
          <w:sz w:val="24"/>
          <w:szCs w:val="24"/>
        </w:rPr>
      </w:pPr>
    </w:p>
    <w:p w14:paraId="6E8C4106" w14:textId="363ADC5A" w:rsidR="00397F09" w:rsidRDefault="00E24424" w:rsidP="00460D4E">
      <w:pPr>
        <w:spacing w:after="0" w:line="276" w:lineRule="auto"/>
        <w:ind w:left="720"/>
        <w:rPr>
          <w:rFonts w:ascii="Arial" w:hAnsi="Arial" w:cs="Arial"/>
          <w:sz w:val="24"/>
          <w:szCs w:val="24"/>
        </w:rPr>
      </w:pPr>
      <w:r w:rsidRPr="00460D4E">
        <w:rPr>
          <w:rFonts w:ascii="Arial" w:hAnsi="Arial" w:cs="Arial"/>
          <w:sz w:val="24"/>
          <w:szCs w:val="24"/>
        </w:rPr>
        <w:t>The Group</w:t>
      </w:r>
      <w:r w:rsidR="00397F09" w:rsidRPr="00460D4E">
        <w:rPr>
          <w:rFonts w:ascii="Arial" w:hAnsi="Arial" w:cs="Arial"/>
          <w:sz w:val="24"/>
          <w:szCs w:val="24"/>
        </w:rPr>
        <w:t xml:space="preserve"> has drawn up and approved a scheme of delegation for the operation of treasury policy, a summary of which is set out in Appendix </w:t>
      </w:r>
      <w:r w:rsidR="00026C1D" w:rsidRPr="00460D4E">
        <w:rPr>
          <w:rFonts w:ascii="Arial" w:hAnsi="Arial" w:cs="Arial"/>
          <w:sz w:val="24"/>
          <w:szCs w:val="24"/>
        </w:rPr>
        <w:t>D</w:t>
      </w:r>
      <w:r w:rsidR="00397F09" w:rsidRPr="00460D4E">
        <w:rPr>
          <w:rFonts w:ascii="Arial" w:hAnsi="Arial" w:cs="Arial"/>
          <w:sz w:val="24"/>
          <w:szCs w:val="24"/>
        </w:rPr>
        <w:t>.</w:t>
      </w:r>
    </w:p>
    <w:p w14:paraId="1FAF8A0F" w14:textId="77777777" w:rsidR="00460D4E" w:rsidRPr="00460D4E" w:rsidRDefault="00460D4E" w:rsidP="00460D4E">
      <w:pPr>
        <w:spacing w:after="0" w:line="276" w:lineRule="auto"/>
        <w:ind w:left="720"/>
        <w:rPr>
          <w:rFonts w:ascii="Arial" w:hAnsi="Arial" w:cs="Arial"/>
          <w:sz w:val="24"/>
          <w:szCs w:val="24"/>
        </w:rPr>
      </w:pPr>
    </w:p>
    <w:p w14:paraId="15A76CD5" w14:textId="77777777" w:rsidR="00397F09" w:rsidRPr="00460D4E" w:rsidRDefault="005557EC" w:rsidP="00460D4E">
      <w:pPr>
        <w:pStyle w:val="Heading2"/>
      </w:pPr>
      <w:r w:rsidRPr="00460D4E">
        <w:t>10</w:t>
      </w:r>
      <w:r w:rsidR="00397F09" w:rsidRPr="00460D4E">
        <w:tab/>
        <w:t>Review and Reporting</w:t>
      </w:r>
    </w:p>
    <w:p w14:paraId="5306DF59" w14:textId="77777777" w:rsidR="00397F09" w:rsidRPr="00460D4E" w:rsidRDefault="00397F09" w:rsidP="00460D4E">
      <w:pPr>
        <w:spacing w:after="0" w:line="276" w:lineRule="auto"/>
        <w:rPr>
          <w:rFonts w:ascii="Arial" w:hAnsi="Arial" w:cs="Arial"/>
          <w:sz w:val="24"/>
          <w:szCs w:val="24"/>
        </w:rPr>
      </w:pPr>
    </w:p>
    <w:p w14:paraId="49B34D78" w14:textId="77777777" w:rsidR="00397F09" w:rsidRPr="00460D4E" w:rsidRDefault="00397F09" w:rsidP="00460D4E">
      <w:pPr>
        <w:spacing w:after="0" w:line="276" w:lineRule="auto"/>
        <w:ind w:left="720"/>
        <w:rPr>
          <w:rFonts w:ascii="Arial" w:hAnsi="Arial" w:cs="Arial"/>
          <w:sz w:val="24"/>
          <w:szCs w:val="24"/>
        </w:rPr>
      </w:pPr>
      <w:r w:rsidRPr="00460D4E">
        <w:rPr>
          <w:rFonts w:ascii="Arial" w:hAnsi="Arial" w:cs="Arial"/>
          <w:sz w:val="24"/>
          <w:szCs w:val="24"/>
        </w:rPr>
        <w:t xml:space="preserve">The </w:t>
      </w:r>
      <w:r w:rsidR="008F0E42" w:rsidRPr="00460D4E">
        <w:rPr>
          <w:rFonts w:ascii="Arial" w:hAnsi="Arial" w:cs="Arial"/>
          <w:sz w:val="24"/>
          <w:szCs w:val="24"/>
        </w:rPr>
        <w:t xml:space="preserve">Executive </w:t>
      </w:r>
      <w:r w:rsidRPr="00460D4E">
        <w:rPr>
          <w:rFonts w:ascii="Arial" w:hAnsi="Arial" w:cs="Arial"/>
          <w:sz w:val="24"/>
          <w:szCs w:val="24"/>
        </w:rPr>
        <w:t xml:space="preserve">Director of Finance will provide the Strategy and Finance Committee with a regular report on cash flow and investment and an annual report on performance. </w:t>
      </w:r>
      <w:r w:rsidR="00BB1C3A" w:rsidRPr="00460D4E">
        <w:rPr>
          <w:rFonts w:ascii="Arial" w:hAnsi="Arial" w:cs="Arial"/>
          <w:sz w:val="24"/>
          <w:szCs w:val="24"/>
        </w:rPr>
        <w:t xml:space="preserve">This is to be undertaken with a view to assessing whether the current methods and instruments being utilised continue to represent best value.  </w:t>
      </w:r>
      <w:r w:rsidR="003D0CE3" w:rsidRPr="00460D4E">
        <w:rPr>
          <w:rFonts w:ascii="Arial" w:hAnsi="Arial" w:cs="Arial"/>
          <w:sz w:val="24"/>
          <w:szCs w:val="24"/>
        </w:rPr>
        <w:t>Consideration will be given in the review to alternative methods of investment and investment instruments, and whether they might be used to increase the level of return on investments within the policy objectives set by the Strategy and Finance C</w:t>
      </w:r>
      <w:r w:rsidR="00026C1D" w:rsidRPr="00460D4E">
        <w:rPr>
          <w:rFonts w:ascii="Arial" w:hAnsi="Arial" w:cs="Arial"/>
          <w:sz w:val="24"/>
          <w:szCs w:val="24"/>
        </w:rPr>
        <w:t>ommi</w:t>
      </w:r>
      <w:r w:rsidR="003D0CE3" w:rsidRPr="00460D4E">
        <w:rPr>
          <w:rFonts w:ascii="Arial" w:hAnsi="Arial" w:cs="Arial"/>
          <w:sz w:val="24"/>
          <w:szCs w:val="24"/>
        </w:rPr>
        <w:t>ttee.</w:t>
      </w:r>
    </w:p>
    <w:p w14:paraId="7EAFE342" w14:textId="77777777" w:rsidR="00397F09" w:rsidRPr="00460D4E" w:rsidRDefault="00397F09" w:rsidP="00460D4E">
      <w:pPr>
        <w:spacing w:after="0" w:line="276" w:lineRule="auto"/>
        <w:rPr>
          <w:rFonts w:ascii="Arial" w:hAnsi="Arial" w:cs="Arial"/>
          <w:sz w:val="24"/>
          <w:szCs w:val="24"/>
        </w:rPr>
      </w:pPr>
    </w:p>
    <w:p w14:paraId="3CAE660B" w14:textId="77777777" w:rsidR="003D0CE3" w:rsidRPr="00460D4E" w:rsidRDefault="003D0CE3" w:rsidP="00460D4E">
      <w:pPr>
        <w:spacing w:after="0" w:line="276" w:lineRule="auto"/>
        <w:rPr>
          <w:rFonts w:ascii="Arial" w:hAnsi="Arial" w:cs="Arial"/>
          <w:sz w:val="24"/>
          <w:szCs w:val="24"/>
        </w:rPr>
      </w:pPr>
      <w:r w:rsidRPr="00460D4E">
        <w:rPr>
          <w:rFonts w:ascii="Arial" w:hAnsi="Arial" w:cs="Arial"/>
          <w:sz w:val="24"/>
          <w:szCs w:val="24"/>
        </w:rPr>
        <w:br w:type="page"/>
      </w:r>
    </w:p>
    <w:p w14:paraId="38853475" w14:textId="693A3209" w:rsidR="00460D4E" w:rsidRDefault="00460D4E" w:rsidP="00460D4E">
      <w:pPr>
        <w:jc w:val="right"/>
      </w:pPr>
      <w:r w:rsidRPr="00460D4E">
        <w:rPr>
          <w:noProof/>
          <w:lang w:eastAsia="en-GB"/>
        </w:rPr>
        <w:lastRenderedPageBreak/>
        <w:drawing>
          <wp:inline distT="0" distB="0" distL="0" distR="0" wp14:anchorId="789E72AF" wp14:editId="71A2A798">
            <wp:extent cx="2038350" cy="609600"/>
            <wp:effectExtent l="0" t="0" r="0" b="0"/>
            <wp:docPr id="1561484713" name="Picture 1561484713" descr="TEFemail"/>
            <wp:cNvGraphicFramePr/>
            <a:graphic xmlns:a="http://schemas.openxmlformats.org/drawingml/2006/main">
              <a:graphicData uri="http://schemas.openxmlformats.org/drawingml/2006/picture">
                <pic:pic xmlns:pic="http://schemas.openxmlformats.org/drawingml/2006/picture">
                  <pic:nvPicPr>
                    <pic:cNvPr id="1" name="Picture 1" descr="TEFemail"/>
                    <pic:cNvPicPr/>
                  </pic:nvPicPr>
                  <pic:blipFill rotWithShape="1">
                    <a:blip r:embed="rId8">
                      <a:extLst>
                        <a:ext uri="{28A0092B-C50C-407E-A947-70E740481C1C}">
                          <a14:useLocalDpi xmlns:a14="http://schemas.microsoft.com/office/drawing/2010/main" val="0"/>
                        </a:ext>
                      </a:extLst>
                    </a:blip>
                    <a:srcRect b="42953"/>
                    <a:stretch/>
                  </pic:blipFill>
                  <pic:spPr bwMode="auto">
                    <a:xfrm>
                      <a:off x="0" y="0"/>
                      <a:ext cx="203835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98D92A2" w14:textId="5947F4BF" w:rsidR="00397F09" w:rsidRPr="00460D4E" w:rsidRDefault="00397F09" w:rsidP="00460D4E">
      <w:pPr>
        <w:pStyle w:val="Heading3"/>
      </w:pPr>
      <w:r w:rsidRPr="00460D4E">
        <w:t>Appendix A – Designated Members of Staff</w:t>
      </w:r>
    </w:p>
    <w:p w14:paraId="69F460E6" w14:textId="77777777" w:rsidR="00397F09" w:rsidRPr="00460D4E" w:rsidRDefault="00397F09" w:rsidP="00460D4E">
      <w:pPr>
        <w:spacing w:after="0" w:line="276" w:lineRule="auto"/>
        <w:rPr>
          <w:rFonts w:ascii="Arial" w:hAnsi="Arial" w:cs="Arial"/>
          <w:sz w:val="24"/>
          <w:szCs w:val="24"/>
        </w:rPr>
      </w:pPr>
    </w:p>
    <w:p w14:paraId="5F363DC1" w14:textId="339885B2" w:rsidR="00397F09" w:rsidRPr="00460D4E" w:rsidRDefault="00F21AF1" w:rsidP="00460D4E">
      <w:pPr>
        <w:spacing w:after="0" w:line="276" w:lineRule="auto"/>
        <w:rPr>
          <w:rFonts w:ascii="Arial" w:hAnsi="Arial" w:cs="Arial"/>
          <w:sz w:val="24"/>
          <w:szCs w:val="24"/>
        </w:rPr>
      </w:pPr>
      <w:r w:rsidRPr="00460D4E">
        <w:rPr>
          <w:rFonts w:ascii="Arial" w:hAnsi="Arial" w:cs="Arial"/>
          <w:sz w:val="24"/>
          <w:szCs w:val="24"/>
        </w:rPr>
        <w:t xml:space="preserve">Executive </w:t>
      </w:r>
      <w:r w:rsidR="00397F09" w:rsidRPr="00460D4E">
        <w:rPr>
          <w:rFonts w:ascii="Arial" w:hAnsi="Arial" w:cs="Arial"/>
          <w:sz w:val="24"/>
          <w:szCs w:val="24"/>
        </w:rPr>
        <w:t>Director of Finance</w:t>
      </w:r>
    </w:p>
    <w:p w14:paraId="00962623" w14:textId="23F9A1D6" w:rsidR="00397F09" w:rsidRPr="00460D4E" w:rsidRDefault="006559F2" w:rsidP="00460D4E">
      <w:pPr>
        <w:spacing w:after="0" w:line="276" w:lineRule="auto"/>
        <w:rPr>
          <w:rFonts w:ascii="Arial" w:hAnsi="Arial" w:cs="Arial"/>
          <w:sz w:val="24"/>
          <w:szCs w:val="24"/>
        </w:rPr>
      </w:pPr>
      <w:r w:rsidRPr="00460D4E">
        <w:rPr>
          <w:rFonts w:ascii="Arial" w:hAnsi="Arial" w:cs="Arial"/>
          <w:sz w:val="24"/>
          <w:szCs w:val="24"/>
        </w:rPr>
        <w:t>Head of Finance</w:t>
      </w:r>
    </w:p>
    <w:p w14:paraId="463D150A" w14:textId="48058AD3" w:rsidR="0041467F" w:rsidRPr="00460D4E" w:rsidRDefault="006412DC" w:rsidP="00460D4E">
      <w:pPr>
        <w:spacing w:after="0" w:line="276" w:lineRule="auto"/>
        <w:rPr>
          <w:rFonts w:ascii="Arial" w:hAnsi="Arial" w:cs="Arial"/>
          <w:sz w:val="24"/>
          <w:szCs w:val="24"/>
        </w:rPr>
      </w:pPr>
      <w:r w:rsidRPr="00460D4E">
        <w:rPr>
          <w:rFonts w:ascii="Arial" w:hAnsi="Arial" w:cs="Arial"/>
          <w:sz w:val="24"/>
          <w:szCs w:val="24"/>
        </w:rPr>
        <w:t xml:space="preserve">Finance </w:t>
      </w:r>
      <w:r w:rsidR="00F11D52" w:rsidRPr="00460D4E">
        <w:rPr>
          <w:rFonts w:ascii="Arial" w:hAnsi="Arial" w:cs="Arial"/>
          <w:sz w:val="24"/>
          <w:szCs w:val="24"/>
        </w:rPr>
        <w:t>Business Partner</w:t>
      </w:r>
      <w:r w:rsidR="008F0E42" w:rsidRPr="00460D4E">
        <w:rPr>
          <w:rFonts w:ascii="Arial" w:hAnsi="Arial" w:cs="Arial"/>
          <w:sz w:val="24"/>
          <w:szCs w:val="24"/>
        </w:rPr>
        <w:t>s</w:t>
      </w:r>
    </w:p>
    <w:p w14:paraId="7BD200C7" w14:textId="50ED339C" w:rsidR="00397F09" w:rsidRPr="00460D4E" w:rsidRDefault="0041467F" w:rsidP="00460D4E">
      <w:pPr>
        <w:spacing w:after="0" w:line="276" w:lineRule="auto"/>
        <w:rPr>
          <w:rFonts w:ascii="Arial" w:hAnsi="Arial" w:cs="Arial"/>
          <w:sz w:val="24"/>
          <w:szCs w:val="24"/>
        </w:rPr>
      </w:pPr>
      <w:r w:rsidRPr="00460D4E">
        <w:rPr>
          <w:rFonts w:ascii="Arial" w:hAnsi="Arial" w:cs="Arial"/>
          <w:sz w:val="24"/>
          <w:szCs w:val="24"/>
        </w:rPr>
        <w:t>Financial Accountant</w:t>
      </w:r>
    </w:p>
    <w:p w14:paraId="4274C828" w14:textId="77777777" w:rsidR="00397F09" w:rsidRPr="00460D4E" w:rsidRDefault="00397F09" w:rsidP="00460D4E">
      <w:pPr>
        <w:spacing w:after="0" w:line="276" w:lineRule="auto"/>
        <w:rPr>
          <w:rFonts w:ascii="Arial" w:hAnsi="Arial" w:cs="Arial"/>
          <w:b/>
          <w:sz w:val="24"/>
          <w:szCs w:val="24"/>
          <w:u w:val="single"/>
        </w:rPr>
      </w:pPr>
    </w:p>
    <w:p w14:paraId="58C4608C" w14:textId="77777777" w:rsidR="00397F09" w:rsidRPr="00460D4E" w:rsidRDefault="00397F09" w:rsidP="00460D4E">
      <w:pPr>
        <w:pStyle w:val="Heading3"/>
      </w:pPr>
      <w:r w:rsidRPr="00460D4E">
        <w:t xml:space="preserve">Appendix B – </w:t>
      </w:r>
      <w:r w:rsidR="006412DC" w:rsidRPr="00460D4E">
        <w:t>Minimum rating for institutions and credit limits</w:t>
      </w:r>
    </w:p>
    <w:p w14:paraId="00B8BDFE" w14:textId="77777777" w:rsidR="00397F09" w:rsidRPr="00460D4E" w:rsidRDefault="00397F09" w:rsidP="00460D4E">
      <w:pPr>
        <w:spacing w:after="0" w:line="276" w:lineRule="auto"/>
        <w:rPr>
          <w:rFonts w:ascii="Arial" w:hAnsi="Arial" w:cs="Arial"/>
          <w:b/>
          <w:sz w:val="24"/>
          <w:szCs w:val="24"/>
          <w:u w:val="single"/>
        </w:rPr>
      </w:pPr>
    </w:p>
    <w:p w14:paraId="4A5D78AA" w14:textId="77777777" w:rsidR="00397F09" w:rsidRPr="00460D4E" w:rsidRDefault="00DE2616" w:rsidP="00460D4E">
      <w:pPr>
        <w:spacing w:after="0" w:line="276" w:lineRule="auto"/>
        <w:rPr>
          <w:rFonts w:ascii="Arial" w:hAnsi="Arial" w:cs="Arial"/>
          <w:sz w:val="24"/>
          <w:szCs w:val="24"/>
        </w:rPr>
      </w:pPr>
      <w:r w:rsidRPr="00460D4E">
        <w:rPr>
          <w:rFonts w:ascii="Arial" w:hAnsi="Arial" w:cs="Arial"/>
          <w:sz w:val="24"/>
          <w:szCs w:val="24"/>
        </w:rPr>
        <w:t>Financial institutions must meet two out of three of the following criteria (based on ratings agencies):</w:t>
      </w:r>
    </w:p>
    <w:p w14:paraId="7EEADEDB" w14:textId="77777777" w:rsidR="00DE2616" w:rsidRPr="00460D4E" w:rsidRDefault="00DE2616" w:rsidP="00460D4E">
      <w:pPr>
        <w:spacing w:after="0" w:line="276" w:lineRule="auto"/>
        <w:rPr>
          <w:rFonts w:ascii="Arial" w:hAnsi="Arial" w:cs="Arial"/>
          <w:sz w:val="24"/>
          <w:szCs w:val="24"/>
        </w:rPr>
      </w:pPr>
    </w:p>
    <w:p w14:paraId="13747FB5" w14:textId="77777777" w:rsidR="00DE2616" w:rsidRPr="00460D4E" w:rsidRDefault="00DE2616" w:rsidP="00460D4E">
      <w:pPr>
        <w:spacing w:after="0" w:line="276" w:lineRule="auto"/>
        <w:rPr>
          <w:rFonts w:ascii="Arial" w:hAnsi="Arial" w:cs="Arial"/>
          <w:b/>
          <w:sz w:val="24"/>
          <w:szCs w:val="24"/>
        </w:rPr>
      </w:pPr>
      <w:r w:rsidRPr="00460D4E">
        <w:rPr>
          <w:rFonts w:ascii="Arial" w:hAnsi="Arial" w:cs="Arial"/>
          <w:b/>
          <w:sz w:val="24"/>
          <w:szCs w:val="24"/>
        </w:rPr>
        <w:t>Rating Agency</w:t>
      </w:r>
      <w:r w:rsidRPr="00460D4E">
        <w:rPr>
          <w:rFonts w:ascii="Arial" w:hAnsi="Arial" w:cs="Arial"/>
          <w:b/>
          <w:sz w:val="24"/>
          <w:szCs w:val="24"/>
        </w:rPr>
        <w:tab/>
      </w:r>
      <w:r w:rsidRPr="00460D4E">
        <w:rPr>
          <w:rFonts w:ascii="Arial" w:hAnsi="Arial" w:cs="Arial"/>
          <w:b/>
          <w:sz w:val="24"/>
          <w:szCs w:val="24"/>
        </w:rPr>
        <w:tab/>
        <w:t>Type</w:t>
      </w:r>
      <w:r w:rsidRPr="00460D4E">
        <w:rPr>
          <w:rFonts w:ascii="Arial" w:hAnsi="Arial" w:cs="Arial"/>
          <w:b/>
          <w:sz w:val="24"/>
          <w:szCs w:val="24"/>
        </w:rPr>
        <w:tab/>
      </w:r>
      <w:r w:rsidRPr="00460D4E">
        <w:rPr>
          <w:rFonts w:ascii="Arial" w:hAnsi="Arial" w:cs="Arial"/>
          <w:b/>
          <w:sz w:val="24"/>
          <w:szCs w:val="24"/>
        </w:rPr>
        <w:tab/>
      </w:r>
      <w:r w:rsidR="0041308A" w:rsidRPr="00460D4E">
        <w:rPr>
          <w:rFonts w:ascii="Arial" w:hAnsi="Arial" w:cs="Arial"/>
          <w:b/>
          <w:sz w:val="24"/>
          <w:szCs w:val="24"/>
        </w:rPr>
        <w:tab/>
      </w:r>
      <w:r w:rsidRPr="00460D4E">
        <w:rPr>
          <w:rFonts w:ascii="Arial" w:hAnsi="Arial" w:cs="Arial"/>
          <w:b/>
          <w:sz w:val="24"/>
          <w:szCs w:val="24"/>
        </w:rPr>
        <w:t>Level</w:t>
      </w:r>
      <w:r w:rsidRPr="00460D4E">
        <w:rPr>
          <w:rFonts w:ascii="Arial" w:hAnsi="Arial" w:cs="Arial"/>
          <w:b/>
          <w:sz w:val="24"/>
          <w:szCs w:val="24"/>
        </w:rPr>
        <w:tab/>
      </w:r>
      <w:r w:rsidRPr="00460D4E">
        <w:rPr>
          <w:rFonts w:ascii="Arial" w:hAnsi="Arial" w:cs="Arial"/>
          <w:b/>
          <w:sz w:val="24"/>
          <w:szCs w:val="24"/>
        </w:rPr>
        <w:tab/>
      </w:r>
      <w:r w:rsidR="0041308A" w:rsidRPr="00460D4E">
        <w:rPr>
          <w:rFonts w:ascii="Arial" w:hAnsi="Arial" w:cs="Arial"/>
          <w:b/>
          <w:sz w:val="24"/>
          <w:szCs w:val="24"/>
        </w:rPr>
        <w:tab/>
      </w:r>
      <w:r w:rsidRPr="00460D4E">
        <w:rPr>
          <w:rFonts w:ascii="Arial" w:hAnsi="Arial" w:cs="Arial"/>
          <w:b/>
          <w:sz w:val="24"/>
          <w:szCs w:val="24"/>
        </w:rPr>
        <w:t>Rating</w:t>
      </w:r>
    </w:p>
    <w:p w14:paraId="7753F7E0" w14:textId="77777777" w:rsidR="00DE2616" w:rsidRPr="00460D4E" w:rsidRDefault="00DE2616" w:rsidP="00460D4E">
      <w:pPr>
        <w:spacing w:after="0" w:line="276" w:lineRule="auto"/>
        <w:rPr>
          <w:rFonts w:ascii="Arial" w:hAnsi="Arial" w:cs="Arial"/>
          <w:sz w:val="24"/>
          <w:szCs w:val="24"/>
        </w:rPr>
      </w:pPr>
      <w:proofErr w:type="spellStart"/>
      <w:r w:rsidRPr="00460D4E">
        <w:rPr>
          <w:rFonts w:ascii="Arial" w:hAnsi="Arial" w:cs="Arial"/>
          <w:sz w:val="24"/>
          <w:szCs w:val="24"/>
        </w:rPr>
        <w:t>Moodys</w:t>
      </w:r>
      <w:proofErr w:type="spellEnd"/>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t>L/T</w:t>
      </w:r>
      <w:r w:rsidRPr="00460D4E">
        <w:rPr>
          <w:rFonts w:ascii="Arial" w:hAnsi="Arial" w:cs="Arial"/>
          <w:sz w:val="24"/>
          <w:szCs w:val="24"/>
        </w:rPr>
        <w:tab/>
      </w:r>
      <w:r w:rsidRPr="00460D4E">
        <w:rPr>
          <w:rFonts w:ascii="Arial" w:hAnsi="Arial" w:cs="Arial"/>
          <w:sz w:val="24"/>
          <w:szCs w:val="24"/>
        </w:rPr>
        <w:tab/>
      </w:r>
      <w:r w:rsidR="0041308A" w:rsidRPr="00460D4E">
        <w:rPr>
          <w:rFonts w:ascii="Arial" w:hAnsi="Arial" w:cs="Arial"/>
          <w:sz w:val="24"/>
          <w:szCs w:val="24"/>
        </w:rPr>
        <w:tab/>
      </w:r>
      <w:r w:rsidRPr="00460D4E">
        <w:rPr>
          <w:rFonts w:ascii="Arial" w:hAnsi="Arial" w:cs="Arial"/>
          <w:sz w:val="24"/>
          <w:szCs w:val="24"/>
        </w:rPr>
        <w:t>Minimum</w:t>
      </w:r>
      <w:r w:rsidRPr="00460D4E">
        <w:rPr>
          <w:rFonts w:ascii="Arial" w:hAnsi="Arial" w:cs="Arial"/>
          <w:sz w:val="24"/>
          <w:szCs w:val="24"/>
        </w:rPr>
        <w:tab/>
      </w:r>
      <w:r w:rsidR="0041308A" w:rsidRPr="00460D4E">
        <w:rPr>
          <w:rFonts w:ascii="Arial" w:hAnsi="Arial" w:cs="Arial"/>
          <w:sz w:val="24"/>
          <w:szCs w:val="24"/>
        </w:rPr>
        <w:tab/>
      </w:r>
      <w:r w:rsidRPr="00460D4E">
        <w:rPr>
          <w:rFonts w:ascii="Arial" w:hAnsi="Arial" w:cs="Arial"/>
          <w:sz w:val="24"/>
          <w:szCs w:val="24"/>
        </w:rPr>
        <w:t>A1</w:t>
      </w:r>
    </w:p>
    <w:p w14:paraId="6B594442" w14:textId="77777777" w:rsidR="00DE2616" w:rsidRPr="00460D4E" w:rsidRDefault="00DE2616" w:rsidP="00460D4E">
      <w:pPr>
        <w:spacing w:after="0" w:line="276" w:lineRule="auto"/>
        <w:rPr>
          <w:rFonts w:ascii="Arial" w:hAnsi="Arial" w:cs="Arial"/>
          <w:sz w:val="24"/>
          <w:szCs w:val="24"/>
        </w:rPr>
      </w:pPr>
      <w:r w:rsidRPr="00460D4E">
        <w:rPr>
          <w:rFonts w:ascii="Arial" w:hAnsi="Arial" w:cs="Arial"/>
          <w:sz w:val="24"/>
          <w:szCs w:val="24"/>
        </w:rPr>
        <w:t>S&amp;P</w:t>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t>L/T</w:t>
      </w:r>
      <w:r w:rsidRPr="00460D4E">
        <w:rPr>
          <w:rFonts w:ascii="Arial" w:hAnsi="Arial" w:cs="Arial"/>
          <w:sz w:val="24"/>
          <w:szCs w:val="24"/>
        </w:rPr>
        <w:tab/>
      </w:r>
      <w:r w:rsidRPr="00460D4E">
        <w:rPr>
          <w:rFonts w:ascii="Arial" w:hAnsi="Arial" w:cs="Arial"/>
          <w:sz w:val="24"/>
          <w:szCs w:val="24"/>
        </w:rPr>
        <w:tab/>
      </w:r>
      <w:r w:rsidR="0041308A" w:rsidRPr="00460D4E">
        <w:rPr>
          <w:rFonts w:ascii="Arial" w:hAnsi="Arial" w:cs="Arial"/>
          <w:sz w:val="24"/>
          <w:szCs w:val="24"/>
        </w:rPr>
        <w:tab/>
      </w:r>
      <w:r w:rsidRPr="00460D4E">
        <w:rPr>
          <w:rFonts w:ascii="Arial" w:hAnsi="Arial" w:cs="Arial"/>
          <w:sz w:val="24"/>
          <w:szCs w:val="24"/>
        </w:rPr>
        <w:t>Minimum</w:t>
      </w:r>
      <w:r w:rsidRPr="00460D4E">
        <w:rPr>
          <w:rFonts w:ascii="Arial" w:hAnsi="Arial" w:cs="Arial"/>
          <w:sz w:val="24"/>
          <w:szCs w:val="24"/>
        </w:rPr>
        <w:tab/>
      </w:r>
      <w:r w:rsidR="0041308A" w:rsidRPr="00460D4E">
        <w:rPr>
          <w:rFonts w:ascii="Arial" w:hAnsi="Arial" w:cs="Arial"/>
          <w:sz w:val="24"/>
          <w:szCs w:val="24"/>
        </w:rPr>
        <w:tab/>
      </w:r>
      <w:r w:rsidRPr="00460D4E">
        <w:rPr>
          <w:rFonts w:ascii="Arial" w:hAnsi="Arial" w:cs="Arial"/>
          <w:sz w:val="24"/>
          <w:szCs w:val="24"/>
        </w:rPr>
        <w:t>A+</w:t>
      </w:r>
    </w:p>
    <w:p w14:paraId="5A9C89CB" w14:textId="77777777" w:rsidR="00DE2616" w:rsidRPr="00460D4E" w:rsidRDefault="00DE2616" w:rsidP="00460D4E">
      <w:pPr>
        <w:spacing w:after="0" w:line="276" w:lineRule="auto"/>
        <w:rPr>
          <w:rFonts w:ascii="Arial" w:hAnsi="Arial" w:cs="Arial"/>
          <w:sz w:val="24"/>
          <w:szCs w:val="24"/>
        </w:rPr>
      </w:pPr>
      <w:r w:rsidRPr="00460D4E">
        <w:rPr>
          <w:rFonts w:ascii="Arial" w:hAnsi="Arial" w:cs="Arial"/>
          <w:sz w:val="24"/>
          <w:szCs w:val="24"/>
        </w:rPr>
        <w:t>Fitch</w:t>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t>L/T</w:t>
      </w:r>
      <w:r w:rsidRPr="00460D4E">
        <w:rPr>
          <w:rFonts w:ascii="Arial" w:hAnsi="Arial" w:cs="Arial"/>
          <w:sz w:val="24"/>
          <w:szCs w:val="24"/>
        </w:rPr>
        <w:tab/>
      </w:r>
      <w:r w:rsidRPr="00460D4E">
        <w:rPr>
          <w:rFonts w:ascii="Arial" w:hAnsi="Arial" w:cs="Arial"/>
          <w:sz w:val="24"/>
          <w:szCs w:val="24"/>
        </w:rPr>
        <w:tab/>
      </w:r>
      <w:r w:rsidR="0041308A" w:rsidRPr="00460D4E">
        <w:rPr>
          <w:rFonts w:ascii="Arial" w:hAnsi="Arial" w:cs="Arial"/>
          <w:sz w:val="24"/>
          <w:szCs w:val="24"/>
        </w:rPr>
        <w:tab/>
      </w:r>
      <w:r w:rsidRPr="00460D4E">
        <w:rPr>
          <w:rFonts w:ascii="Arial" w:hAnsi="Arial" w:cs="Arial"/>
          <w:sz w:val="24"/>
          <w:szCs w:val="24"/>
        </w:rPr>
        <w:t>Minimum</w:t>
      </w:r>
      <w:r w:rsidRPr="00460D4E">
        <w:rPr>
          <w:rFonts w:ascii="Arial" w:hAnsi="Arial" w:cs="Arial"/>
          <w:sz w:val="24"/>
          <w:szCs w:val="24"/>
        </w:rPr>
        <w:tab/>
      </w:r>
      <w:r w:rsidR="0041308A" w:rsidRPr="00460D4E">
        <w:rPr>
          <w:rFonts w:ascii="Arial" w:hAnsi="Arial" w:cs="Arial"/>
          <w:sz w:val="24"/>
          <w:szCs w:val="24"/>
        </w:rPr>
        <w:tab/>
      </w:r>
      <w:r w:rsidRPr="00460D4E">
        <w:rPr>
          <w:rFonts w:ascii="Arial" w:hAnsi="Arial" w:cs="Arial"/>
          <w:sz w:val="24"/>
          <w:szCs w:val="24"/>
        </w:rPr>
        <w:t>A+</w:t>
      </w:r>
    </w:p>
    <w:p w14:paraId="425F074A" w14:textId="77777777" w:rsidR="00DE2616" w:rsidRPr="00460D4E" w:rsidRDefault="00DE2616" w:rsidP="00460D4E">
      <w:pPr>
        <w:spacing w:after="0" w:line="276" w:lineRule="auto"/>
        <w:rPr>
          <w:rFonts w:ascii="Arial" w:hAnsi="Arial" w:cs="Arial"/>
          <w:sz w:val="24"/>
          <w:szCs w:val="24"/>
        </w:rPr>
      </w:pPr>
    </w:p>
    <w:p w14:paraId="52A773DB" w14:textId="66A1ED28" w:rsidR="00DE2616" w:rsidRPr="00460D4E" w:rsidRDefault="00DE2616" w:rsidP="00460D4E">
      <w:pPr>
        <w:spacing w:after="0" w:line="276" w:lineRule="auto"/>
        <w:rPr>
          <w:rFonts w:ascii="Arial" w:hAnsi="Arial" w:cs="Arial"/>
          <w:sz w:val="24"/>
          <w:szCs w:val="24"/>
        </w:rPr>
      </w:pPr>
      <w:r w:rsidRPr="00460D4E">
        <w:rPr>
          <w:rFonts w:ascii="Arial" w:hAnsi="Arial" w:cs="Arial"/>
          <w:sz w:val="24"/>
          <w:szCs w:val="24"/>
        </w:rPr>
        <w:t>Maximum credit limit per financial institutio</w:t>
      </w:r>
      <w:r w:rsidR="007B02D2" w:rsidRPr="00460D4E">
        <w:rPr>
          <w:rFonts w:ascii="Arial" w:hAnsi="Arial" w:cs="Arial"/>
          <w:sz w:val="24"/>
          <w:szCs w:val="24"/>
        </w:rPr>
        <w:t xml:space="preserve">n </w:t>
      </w:r>
      <w:r w:rsidR="007B02D2" w:rsidRPr="00553166">
        <w:rPr>
          <w:rFonts w:ascii="Arial" w:hAnsi="Arial" w:cs="Arial"/>
          <w:sz w:val="24"/>
          <w:szCs w:val="24"/>
        </w:rPr>
        <w:t>£10m</w:t>
      </w:r>
    </w:p>
    <w:p w14:paraId="7D146774" w14:textId="77777777" w:rsidR="00DE2616" w:rsidRPr="00460D4E" w:rsidRDefault="00DE2616" w:rsidP="00460D4E">
      <w:pPr>
        <w:spacing w:after="0" w:line="276" w:lineRule="auto"/>
        <w:rPr>
          <w:rFonts w:ascii="Arial" w:hAnsi="Arial" w:cs="Arial"/>
          <w:sz w:val="24"/>
          <w:szCs w:val="24"/>
        </w:rPr>
      </w:pPr>
    </w:p>
    <w:p w14:paraId="174948ED" w14:textId="77777777" w:rsidR="00DE2616" w:rsidRPr="00460D4E" w:rsidRDefault="00DE2616" w:rsidP="00460D4E">
      <w:pPr>
        <w:pStyle w:val="Heading3"/>
      </w:pPr>
      <w:r w:rsidRPr="00460D4E">
        <w:t>Appendix C – Asset classes</w:t>
      </w:r>
      <w:r w:rsidR="0041308A" w:rsidRPr="00460D4E">
        <w:t xml:space="preserve"> and maximum durations</w:t>
      </w:r>
    </w:p>
    <w:p w14:paraId="717F69FC" w14:textId="77777777" w:rsidR="00DE2616" w:rsidRPr="00460D4E" w:rsidRDefault="00DE2616" w:rsidP="00460D4E">
      <w:pPr>
        <w:spacing w:after="0" w:line="276" w:lineRule="auto"/>
        <w:rPr>
          <w:rFonts w:ascii="Arial" w:hAnsi="Arial" w:cs="Arial"/>
          <w:b/>
          <w:sz w:val="24"/>
          <w:szCs w:val="24"/>
          <w:u w:val="single"/>
        </w:rPr>
      </w:pPr>
    </w:p>
    <w:p w14:paraId="4011EA19" w14:textId="77777777" w:rsidR="00DE2616" w:rsidRPr="00460D4E" w:rsidRDefault="0041308A" w:rsidP="00460D4E">
      <w:pPr>
        <w:spacing w:after="0" w:line="276" w:lineRule="auto"/>
        <w:rPr>
          <w:rFonts w:ascii="Arial" w:hAnsi="Arial" w:cs="Arial"/>
          <w:b/>
          <w:sz w:val="24"/>
          <w:szCs w:val="24"/>
        </w:rPr>
      </w:pPr>
      <w:r w:rsidRPr="00460D4E">
        <w:rPr>
          <w:rFonts w:ascii="Arial" w:hAnsi="Arial" w:cs="Arial"/>
          <w:b/>
          <w:sz w:val="24"/>
          <w:szCs w:val="24"/>
        </w:rPr>
        <w:t>Asset classes</w:t>
      </w:r>
      <w:r w:rsidRPr="00460D4E">
        <w:rPr>
          <w:rFonts w:ascii="Arial" w:hAnsi="Arial" w:cs="Arial"/>
          <w:b/>
          <w:sz w:val="24"/>
          <w:szCs w:val="24"/>
        </w:rPr>
        <w:tab/>
      </w:r>
      <w:r w:rsidRPr="00460D4E">
        <w:rPr>
          <w:rFonts w:ascii="Arial" w:hAnsi="Arial" w:cs="Arial"/>
          <w:b/>
          <w:sz w:val="24"/>
          <w:szCs w:val="24"/>
        </w:rPr>
        <w:tab/>
      </w:r>
      <w:r w:rsidRPr="00460D4E">
        <w:rPr>
          <w:rFonts w:ascii="Arial" w:hAnsi="Arial" w:cs="Arial"/>
          <w:b/>
          <w:sz w:val="24"/>
          <w:szCs w:val="24"/>
        </w:rPr>
        <w:tab/>
      </w:r>
      <w:r w:rsidRPr="00460D4E">
        <w:rPr>
          <w:rFonts w:ascii="Arial" w:hAnsi="Arial" w:cs="Arial"/>
          <w:b/>
          <w:sz w:val="24"/>
          <w:szCs w:val="24"/>
        </w:rPr>
        <w:tab/>
      </w:r>
      <w:r w:rsidRPr="00460D4E">
        <w:rPr>
          <w:rFonts w:ascii="Arial" w:hAnsi="Arial" w:cs="Arial"/>
          <w:b/>
          <w:sz w:val="24"/>
          <w:szCs w:val="24"/>
        </w:rPr>
        <w:tab/>
      </w:r>
      <w:r w:rsidRPr="00460D4E">
        <w:rPr>
          <w:rFonts w:ascii="Arial" w:hAnsi="Arial" w:cs="Arial"/>
          <w:b/>
          <w:sz w:val="24"/>
          <w:szCs w:val="24"/>
        </w:rPr>
        <w:tab/>
        <w:t>Maximum durations</w:t>
      </w:r>
    </w:p>
    <w:p w14:paraId="0A4E9D2C" w14:textId="77777777" w:rsidR="0041308A" w:rsidRPr="00460D4E" w:rsidRDefault="0041308A" w:rsidP="00460D4E">
      <w:pPr>
        <w:spacing w:after="0" w:line="276" w:lineRule="auto"/>
        <w:rPr>
          <w:rFonts w:ascii="Arial" w:hAnsi="Arial" w:cs="Arial"/>
          <w:sz w:val="24"/>
          <w:szCs w:val="24"/>
        </w:rPr>
      </w:pPr>
      <w:r w:rsidRPr="00460D4E">
        <w:rPr>
          <w:rFonts w:ascii="Arial" w:hAnsi="Arial" w:cs="Arial"/>
          <w:sz w:val="24"/>
          <w:szCs w:val="24"/>
        </w:rPr>
        <w:t>Instant access</w:t>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t>-</w:t>
      </w:r>
    </w:p>
    <w:p w14:paraId="04F05D88" w14:textId="77777777" w:rsidR="0041308A" w:rsidRPr="00460D4E" w:rsidRDefault="0041308A" w:rsidP="00460D4E">
      <w:pPr>
        <w:spacing w:after="0" w:line="276" w:lineRule="auto"/>
        <w:rPr>
          <w:rFonts w:ascii="Arial" w:hAnsi="Arial" w:cs="Arial"/>
          <w:sz w:val="24"/>
          <w:szCs w:val="24"/>
        </w:rPr>
      </w:pPr>
      <w:r w:rsidRPr="00460D4E">
        <w:rPr>
          <w:rFonts w:ascii="Arial" w:hAnsi="Arial" w:cs="Arial"/>
          <w:sz w:val="24"/>
          <w:szCs w:val="24"/>
        </w:rPr>
        <w:t>Fixed deposit</w:t>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t>12 months</w:t>
      </w:r>
    </w:p>
    <w:p w14:paraId="1440D4E5" w14:textId="77777777" w:rsidR="0041308A" w:rsidRPr="00460D4E" w:rsidRDefault="0041308A" w:rsidP="00460D4E">
      <w:pPr>
        <w:spacing w:after="0" w:line="276" w:lineRule="auto"/>
        <w:rPr>
          <w:rFonts w:ascii="Arial" w:hAnsi="Arial" w:cs="Arial"/>
          <w:sz w:val="24"/>
          <w:szCs w:val="24"/>
        </w:rPr>
      </w:pPr>
      <w:r w:rsidRPr="00460D4E">
        <w:rPr>
          <w:rFonts w:ascii="Arial" w:hAnsi="Arial" w:cs="Arial"/>
          <w:sz w:val="24"/>
          <w:szCs w:val="24"/>
        </w:rPr>
        <w:t>UK G</w:t>
      </w:r>
      <w:r w:rsidR="00E2356C" w:rsidRPr="00460D4E">
        <w:rPr>
          <w:rFonts w:ascii="Arial" w:hAnsi="Arial" w:cs="Arial"/>
          <w:sz w:val="24"/>
          <w:szCs w:val="24"/>
        </w:rPr>
        <w:t>V</w:t>
      </w:r>
      <w:r w:rsidRPr="00460D4E">
        <w:rPr>
          <w:rFonts w:ascii="Arial" w:hAnsi="Arial" w:cs="Arial"/>
          <w:sz w:val="24"/>
          <w:szCs w:val="24"/>
        </w:rPr>
        <w:t>T Treasury Bill</w:t>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t>12 months</w:t>
      </w:r>
    </w:p>
    <w:p w14:paraId="1634084C" w14:textId="77777777" w:rsidR="0041308A" w:rsidRPr="00460D4E" w:rsidRDefault="00E2356C" w:rsidP="00460D4E">
      <w:pPr>
        <w:spacing w:after="0" w:line="276" w:lineRule="auto"/>
        <w:rPr>
          <w:rFonts w:ascii="Arial" w:hAnsi="Arial" w:cs="Arial"/>
          <w:sz w:val="24"/>
          <w:szCs w:val="24"/>
        </w:rPr>
      </w:pPr>
      <w:r w:rsidRPr="00460D4E">
        <w:rPr>
          <w:rFonts w:ascii="Arial" w:hAnsi="Arial" w:cs="Arial"/>
          <w:sz w:val="24"/>
          <w:szCs w:val="24"/>
        </w:rPr>
        <w:t>UK GV</w:t>
      </w:r>
      <w:r w:rsidR="0041308A" w:rsidRPr="00460D4E">
        <w:rPr>
          <w:rFonts w:ascii="Arial" w:hAnsi="Arial" w:cs="Arial"/>
          <w:sz w:val="24"/>
          <w:szCs w:val="24"/>
        </w:rPr>
        <w:t>T Gilts</w:t>
      </w:r>
      <w:r w:rsidR="0041308A" w:rsidRPr="00460D4E">
        <w:rPr>
          <w:rFonts w:ascii="Arial" w:hAnsi="Arial" w:cs="Arial"/>
          <w:sz w:val="24"/>
          <w:szCs w:val="24"/>
        </w:rPr>
        <w:tab/>
      </w:r>
      <w:r w:rsidR="0041308A" w:rsidRPr="00460D4E">
        <w:rPr>
          <w:rFonts w:ascii="Arial" w:hAnsi="Arial" w:cs="Arial"/>
          <w:sz w:val="24"/>
          <w:szCs w:val="24"/>
        </w:rPr>
        <w:tab/>
      </w:r>
      <w:r w:rsidR="0041308A" w:rsidRPr="00460D4E">
        <w:rPr>
          <w:rFonts w:ascii="Arial" w:hAnsi="Arial" w:cs="Arial"/>
          <w:sz w:val="24"/>
          <w:szCs w:val="24"/>
        </w:rPr>
        <w:tab/>
      </w:r>
      <w:r w:rsidR="0041308A" w:rsidRPr="00460D4E">
        <w:rPr>
          <w:rFonts w:ascii="Arial" w:hAnsi="Arial" w:cs="Arial"/>
          <w:sz w:val="24"/>
          <w:szCs w:val="24"/>
        </w:rPr>
        <w:tab/>
      </w:r>
      <w:r w:rsidR="0041308A" w:rsidRPr="00460D4E">
        <w:rPr>
          <w:rFonts w:ascii="Arial" w:hAnsi="Arial" w:cs="Arial"/>
          <w:sz w:val="24"/>
          <w:szCs w:val="24"/>
        </w:rPr>
        <w:tab/>
      </w:r>
      <w:r w:rsidR="0041308A" w:rsidRPr="00460D4E">
        <w:rPr>
          <w:rFonts w:ascii="Arial" w:hAnsi="Arial" w:cs="Arial"/>
          <w:sz w:val="24"/>
          <w:szCs w:val="24"/>
        </w:rPr>
        <w:tab/>
      </w:r>
      <w:r w:rsidR="0041308A" w:rsidRPr="00460D4E">
        <w:rPr>
          <w:rFonts w:ascii="Arial" w:hAnsi="Arial" w:cs="Arial"/>
          <w:sz w:val="24"/>
          <w:szCs w:val="24"/>
        </w:rPr>
        <w:tab/>
        <w:t>12 months</w:t>
      </w:r>
    </w:p>
    <w:p w14:paraId="652EFA70" w14:textId="77777777" w:rsidR="0041308A" w:rsidRPr="00460D4E" w:rsidRDefault="0041308A" w:rsidP="00460D4E">
      <w:pPr>
        <w:spacing w:after="0" w:line="276" w:lineRule="auto"/>
        <w:rPr>
          <w:rFonts w:ascii="Arial" w:hAnsi="Arial" w:cs="Arial"/>
          <w:sz w:val="24"/>
          <w:szCs w:val="24"/>
        </w:rPr>
      </w:pPr>
      <w:r w:rsidRPr="00460D4E">
        <w:rPr>
          <w:rFonts w:ascii="Arial" w:hAnsi="Arial" w:cs="Arial"/>
          <w:sz w:val="24"/>
          <w:szCs w:val="24"/>
        </w:rPr>
        <w:t>Certificates of Deposit (T+0)</w:t>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t>12 months</w:t>
      </w:r>
    </w:p>
    <w:p w14:paraId="564A88AE" w14:textId="77777777" w:rsidR="0041308A" w:rsidRPr="00460D4E" w:rsidRDefault="0041308A" w:rsidP="00460D4E">
      <w:pPr>
        <w:spacing w:after="0" w:line="276" w:lineRule="auto"/>
        <w:rPr>
          <w:rFonts w:ascii="Arial" w:hAnsi="Arial" w:cs="Arial"/>
          <w:sz w:val="24"/>
          <w:szCs w:val="24"/>
        </w:rPr>
      </w:pPr>
      <w:r w:rsidRPr="00460D4E">
        <w:rPr>
          <w:rFonts w:ascii="Arial" w:hAnsi="Arial" w:cs="Arial"/>
          <w:sz w:val="24"/>
          <w:szCs w:val="24"/>
        </w:rPr>
        <w:t>Financial Corporate Bonds</w:t>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r>
      <w:r w:rsidRPr="00460D4E">
        <w:rPr>
          <w:rFonts w:ascii="Arial" w:hAnsi="Arial" w:cs="Arial"/>
          <w:sz w:val="24"/>
          <w:szCs w:val="24"/>
        </w:rPr>
        <w:tab/>
        <w:t>2 years</w:t>
      </w:r>
    </w:p>
    <w:p w14:paraId="046A6DEE" w14:textId="77777777" w:rsidR="00BB1C3A" w:rsidRPr="00460D4E" w:rsidRDefault="00BB1C3A" w:rsidP="00460D4E">
      <w:pPr>
        <w:spacing w:after="0" w:line="276" w:lineRule="auto"/>
        <w:rPr>
          <w:rFonts w:ascii="Arial" w:hAnsi="Arial" w:cs="Arial"/>
          <w:b/>
          <w:sz w:val="24"/>
          <w:szCs w:val="24"/>
          <w:u w:val="single"/>
        </w:rPr>
      </w:pPr>
    </w:p>
    <w:p w14:paraId="0207FA76" w14:textId="77777777" w:rsidR="00347C1E" w:rsidRPr="00460D4E" w:rsidRDefault="00347C1E" w:rsidP="00460D4E">
      <w:pPr>
        <w:pStyle w:val="Heading3"/>
      </w:pPr>
      <w:r w:rsidRPr="00460D4E">
        <w:t xml:space="preserve">Appendix </w:t>
      </w:r>
      <w:r w:rsidR="00DE2616" w:rsidRPr="00460D4E">
        <w:t>D</w:t>
      </w:r>
      <w:r w:rsidRPr="00460D4E">
        <w:t xml:space="preserve"> – Scheme of Delegation for Treasury Policy</w:t>
      </w:r>
    </w:p>
    <w:p w14:paraId="072040C9" w14:textId="77777777" w:rsidR="00347C1E" w:rsidRPr="00460D4E" w:rsidRDefault="00347C1E" w:rsidP="00460D4E">
      <w:pPr>
        <w:spacing w:after="0" w:line="276" w:lineRule="auto"/>
        <w:rPr>
          <w:rFonts w:ascii="Arial" w:hAnsi="Arial" w:cs="Arial"/>
          <w:b/>
          <w:sz w:val="24"/>
          <w:szCs w:val="24"/>
        </w:rPr>
      </w:pPr>
    </w:p>
    <w:p w14:paraId="7B62102C" w14:textId="77777777" w:rsidR="00347C1E" w:rsidRPr="00460D4E" w:rsidRDefault="00347C1E" w:rsidP="00460D4E">
      <w:pPr>
        <w:spacing w:after="0" w:line="276" w:lineRule="auto"/>
        <w:rPr>
          <w:rFonts w:ascii="Arial" w:hAnsi="Arial" w:cs="Arial"/>
          <w:b/>
          <w:sz w:val="24"/>
          <w:szCs w:val="24"/>
        </w:rPr>
      </w:pPr>
      <w:r w:rsidRPr="00460D4E">
        <w:rPr>
          <w:rFonts w:ascii="Arial" w:hAnsi="Arial" w:cs="Arial"/>
          <w:b/>
          <w:sz w:val="24"/>
          <w:szCs w:val="24"/>
        </w:rPr>
        <w:t>Delegated Power:</w:t>
      </w:r>
      <w:r w:rsidRPr="00460D4E">
        <w:rPr>
          <w:rFonts w:ascii="Arial" w:hAnsi="Arial" w:cs="Arial"/>
          <w:b/>
          <w:sz w:val="24"/>
          <w:szCs w:val="24"/>
        </w:rPr>
        <w:tab/>
      </w:r>
      <w:r w:rsidRPr="00460D4E">
        <w:rPr>
          <w:rFonts w:ascii="Arial" w:hAnsi="Arial" w:cs="Arial"/>
          <w:b/>
          <w:sz w:val="24"/>
          <w:szCs w:val="24"/>
        </w:rPr>
        <w:tab/>
      </w:r>
      <w:r w:rsidRPr="00460D4E">
        <w:rPr>
          <w:rFonts w:ascii="Arial" w:hAnsi="Arial" w:cs="Arial"/>
          <w:b/>
          <w:sz w:val="24"/>
          <w:szCs w:val="24"/>
        </w:rPr>
        <w:tab/>
      </w:r>
      <w:r w:rsidRPr="00460D4E">
        <w:rPr>
          <w:rFonts w:ascii="Arial" w:hAnsi="Arial" w:cs="Arial"/>
          <w:b/>
          <w:sz w:val="24"/>
          <w:szCs w:val="24"/>
        </w:rPr>
        <w:tab/>
        <w:t>Exercised by:</w:t>
      </w:r>
    </w:p>
    <w:p w14:paraId="7C135ECF" w14:textId="77777777" w:rsidR="00347C1E" w:rsidRPr="00460D4E" w:rsidRDefault="00347C1E" w:rsidP="00460D4E">
      <w:pPr>
        <w:spacing w:after="0" w:line="276" w:lineRule="auto"/>
        <w:rPr>
          <w:rFonts w:ascii="Arial" w:hAnsi="Arial" w:cs="Arial"/>
          <w:sz w:val="24"/>
          <w:szCs w:val="24"/>
        </w:rPr>
      </w:pPr>
    </w:p>
    <w:tbl>
      <w:tblPr>
        <w:tblStyle w:val="TableGrid"/>
        <w:tblW w:w="0" w:type="auto"/>
        <w:tblLook w:val="01E0" w:firstRow="1" w:lastRow="1" w:firstColumn="1" w:lastColumn="1" w:noHBand="0" w:noVBand="0"/>
      </w:tblPr>
      <w:tblGrid>
        <w:gridCol w:w="4428"/>
        <w:gridCol w:w="4428"/>
      </w:tblGrid>
      <w:tr w:rsidR="0039100A" w:rsidRPr="00460D4E" w14:paraId="520C5D1C" w14:textId="77777777" w:rsidTr="00947B29">
        <w:tc>
          <w:tcPr>
            <w:tcW w:w="4428" w:type="dxa"/>
          </w:tcPr>
          <w:p w14:paraId="0E291F6B" w14:textId="77777777" w:rsidR="0039100A" w:rsidRPr="00460D4E" w:rsidRDefault="0039100A" w:rsidP="00460D4E">
            <w:pPr>
              <w:spacing w:line="276" w:lineRule="auto"/>
              <w:rPr>
                <w:rFonts w:ascii="Arial" w:hAnsi="Arial" w:cs="Arial"/>
                <w:sz w:val="24"/>
                <w:szCs w:val="24"/>
              </w:rPr>
            </w:pPr>
            <w:r w:rsidRPr="00460D4E">
              <w:rPr>
                <w:rFonts w:ascii="Arial" w:hAnsi="Arial" w:cs="Arial"/>
                <w:sz w:val="24"/>
                <w:szCs w:val="24"/>
              </w:rPr>
              <w:t>Approval and amendment of Treasury Management Policy</w:t>
            </w:r>
          </w:p>
        </w:tc>
        <w:tc>
          <w:tcPr>
            <w:tcW w:w="4428" w:type="dxa"/>
          </w:tcPr>
          <w:p w14:paraId="5AA6F4DB" w14:textId="77777777" w:rsidR="0039100A" w:rsidRPr="00460D4E" w:rsidRDefault="0039100A" w:rsidP="00460D4E">
            <w:pPr>
              <w:spacing w:line="276" w:lineRule="auto"/>
              <w:rPr>
                <w:rFonts w:ascii="Arial" w:hAnsi="Arial" w:cs="Arial"/>
                <w:b/>
                <w:sz w:val="24"/>
                <w:szCs w:val="24"/>
                <w:highlight w:val="yellow"/>
              </w:rPr>
            </w:pPr>
            <w:r w:rsidRPr="00460D4E">
              <w:rPr>
                <w:rFonts w:ascii="Arial" w:hAnsi="Arial" w:cs="Arial"/>
                <w:sz w:val="24"/>
                <w:szCs w:val="24"/>
              </w:rPr>
              <w:t xml:space="preserve">Strategy </w:t>
            </w:r>
            <w:r w:rsidR="006412DC" w:rsidRPr="00460D4E">
              <w:rPr>
                <w:rFonts w:ascii="Arial" w:hAnsi="Arial" w:cs="Arial"/>
                <w:sz w:val="24"/>
                <w:szCs w:val="24"/>
              </w:rPr>
              <w:t>and</w:t>
            </w:r>
            <w:r w:rsidRPr="00460D4E">
              <w:rPr>
                <w:rFonts w:ascii="Arial" w:hAnsi="Arial" w:cs="Arial"/>
                <w:sz w:val="24"/>
                <w:szCs w:val="24"/>
              </w:rPr>
              <w:t xml:space="preserve"> Finance Committee</w:t>
            </w:r>
          </w:p>
        </w:tc>
      </w:tr>
      <w:tr w:rsidR="0039100A" w:rsidRPr="00460D4E" w14:paraId="2311CDB3" w14:textId="77777777" w:rsidTr="00947B29">
        <w:tc>
          <w:tcPr>
            <w:tcW w:w="4428" w:type="dxa"/>
          </w:tcPr>
          <w:p w14:paraId="3F5CD60F" w14:textId="77777777" w:rsidR="0039100A" w:rsidRPr="00460D4E" w:rsidRDefault="0039100A" w:rsidP="00460D4E">
            <w:pPr>
              <w:spacing w:line="276" w:lineRule="auto"/>
              <w:rPr>
                <w:rFonts w:ascii="Arial" w:hAnsi="Arial" w:cs="Arial"/>
                <w:sz w:val="24"/>
                <w:szCs w:val="24"/>
              </w:rPr>
            </w:pPr>
            <w:r w:rsidRPr="00460D4E">
              <w:rPr>
                <w:rFonts w:ascii="Arial" w:hAnsi="Arial" w:cs="Arial"/>
                <w:sz w:val="24"/>
                <w:szCs w:val="24"/>
              </w:rPr>
              <w:t>Amendment o</w:t>
            </w:r>
            <w:r w:rsidR="007C5A74" w:rsidRPr="00460D4E">
              <w:rPr>
                <w:rFonts w:ascii="Arial" w:hAnsi="Arial" w:cs="Arial"/>
                <w:sz w:val="24"/>
                <w:szCs w:val="24"/>
              </w:rPr>
              <w:t xml:space="preserve">f list of approved </w:t>
            </w:r>
            <w:proofErr w:type="gramStart"/>
            <w:r w:rsidR="007C5A74" w:rsidRPr="00460D4E">
              <w:rPr>
                <w:rFonts w:ascii="Arial" w:hAnsi="Arial" w:cs="Arial"/>
                <w:sz w:val="24"/>
                <w:szCs w:val="24"/>
              </w:rPr>
              <w:t>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w:val="24"/>
                <w:szCs w:val="24"/>
              </w:rPr>
            </w:pPr>
            <w:r w:rsidRPr="00460D4E">
              <w:rPr>
                <w:rFonts w:ascii="Arial" w:hAnsi="Arial" w:cs="Arial"/>
                <w:sz w:val="24"/>
                <w:szCs w:val="24"/>
              </w:rPr>
              <w:t>Strategy and Finance Committee</w:t>
            </w:r>
            <w:r w:rsidR="007C5A74" w:rsidRPr="00460D4E">
              <w:rPr>
                <w:rFonts w:ascii="Arial" w:hAnsi="Arial" w:cs="Arial"/>
                <w:sz w:val="24"/>
                <w:szCs w:val="24"/>
              </w:rPr>
              <w:t xml:space="preserve"> and Board of Governors</w:t>
            </w:r>
          </w:p>
        </w:tc>
      </w:tr>
      <w:tr w:rsidR="0039100A" w:rsidRPr="00460D4E" w14:paraId="335D058C" w14:textId="77777777" w:rsidTr="00947B29">
        <w:tc>
          <w:tcPr>
            <w:tcW w:w="4428" w:type="dxa"/>
          </w:tcPr>
          <w:p w14:paraId="7D0D1F7E" w14:textId="77777777" w:rsidR="0039100A" w:rsidRPr="00460D4E" w:rsidRDefault="0039100A" w:rsidP="00460D4E">
            <w:pPr>
              <w:spacing w:line="276" w:lineRule="auto"/>
              <w:rPr>
                <w:rFonts w:ascii="Arial" w:hAnsi="Arial" w:cs="Arial"/>
                <w:sz w:val="24"/>
                <w:szCs w:val="24"/>
              </w:rPr>
            </w:pPr>
            <w:r w:rsidRPr="00460D4E">
              <w:rPr>
                <w:rFonts w:ascii="Arial" w:hAnsi="Arial" w:cs="Arial"/>
                <w:sz w:val="24"/>
                <w:szCs w:val="24"/>
              </w:rPr>
              <w:t>Approval of Annual Financial Strategy</w:t>
            </w:r>
          </w:p>
        </w:tc>
        <w:tc>
          <w:tcPr>
            <w:tcW w:w="4428" w:type="dxa"/>
          </w:tcPr>
          <w:p w14:paraId="7B7E324F" w14:textId="77777777" w:rsidR="0039100A" w:rsidRPr="00460D4E" w:rsidRDefault="0039100A" w:rsidP="00460D4E">
            <w:pPr>
              <w:spacing w:line="276" w:lineRule="auto"/>
              <w:rPr>
                <w:rFonts w:ascii="Arial" w:hAnsi="Arial" w:cs="Arial"/>
                <w:sz w:val="24"/>
                <w:szCs w:val="24"/>
                <w:highlight w:val="yellow"/>
              </w:rPr>
            </w:pPr>
            <w:r w:rsidRPr="00460D4E">
              <w:rPr>
                <w:rFonts w:ascii="Arial" w:hAnsi="Arial" w:cs="Arial"/>
                <w:sz w:val="24"/>
                <w:szCs w:val="24"/>
              </w:rPr>
              <w:t>Strategy and Finance Committee and Board of</w:t>
            </w:r>
            <w:r w:rsidRPr="00460D4E">
              <w:rPr>
                <w:rFonts w:ascii="Arial" w:hAnsi="Arial" w:cs="Arial"/>
                <w:b/>
                <w:sz w:val="24"/>
                <w:szCs w:val="24"/>
              </w:rPr>
              <w:t xml:space="preserve"> </w:t>
            </w:r>
            <w:r w:rsidRPr="00460D4E">
              <w:rPr>
                <w:rFonts w:ascii="Arial" w:hAnsi="Arial" w:cs="Arial"/>
                <w:sz w:val="24"/>
                <w:szCs w:val="24"/>
              </w:rPr>
              <w:t>Governors</w:t>
            </w:r>
          </w:p>
        </w:tc>
      </w:tr>
      <w:tr w:rsidR="0039100A" w:rsidRPr="00460D4E" w14:paraId="513F755E" w14:textId="77777777" w:rsidTr="00947B29">
        <w:tc>
          <w:tcPr>
            <w:tcW w:w="4428" w:type="dxa"/>
          </w:tcPr>
          <w:p w14:paraId="12AAA7A6" w14:textId="77777777" w:rsidR="0039100A" w:rsidRPr="00460D4E" w:rsidRDefault="0039100A" w:rsidP="00460D4E">
            <w:pPr>
              <w:spacing w:line="276" w:lineRule="auto"/>
              <w:rPr>
                <w:rFonts w:ascii="Arial" w:hAnsi="Arial" w:cs="Arial"/>
                <w:sz w:val="24"/>
                <w:szCs w:val="24"/>
              </w:rPr>
            </w:pPr>
            <w:r w:rsidRPr="00460D4E">
              <w:rPr>
                <w:rFonts w:ascii="Arial" w:hAnsi="Arial" w:cs="Arial"/>
                <w:sz w:val="24"/>
                <w:szCs w:val="24"/>
              </w:rPr>
              <w:t>Application of approved strategy</w:t>
            </w:r>
          </w:p>
        </w:tc>
        <w:tc>
          <w:tcPr>
            <w:tcW w:w="4428" w:type="dxa"/>
          </w:tcPr>
          <w:p w14:paraId="37EE5256" w14:textId="77777777" w:rsidR="0039100A" w:rsidRPr="00460D4E" w:rsidRDefault="00F21AF1" w:rsidP="00460D4E">
            <w:pPr>
              <w:spacing w:line="276" w:lineRule="auto"/>
              <w:rPr>
                <w:rFonts w:ascii="Arial" w:hAnsi="Arial" w:cs="Arial"/>
                <w:sz w:val="24"/>
                <w:szCs w:val="24"/>
              </w:rPr>
            </w:pPr>
            <w:r w:rsidRPr="00460D4E">
              <w:rPr>
                <w:rFonts w:ascii="Arial" w:hAnsi="Arial" w:cs="Arial"/>
                <w:sz w:val="24"/>
                <w:szCs w:val="24"/>
              </w:rPr>
              <w:t xml:space="preserve">Executive </w:t>
            </w:r>
            <w:r w:rsidR="0039100A" w:rsidRPr="00460D4E">
              <w:rPr>
                <w:rFonts w:ascii="Arial" w:hAnsi="Arial" w:cs="Arial"/>
                <w:sz w:val="24"/>
                <w:szCs w:val="24"/>
              </w:rPr>
              <w:t>Director of Finance</w:t>
            </w:r>
          </w:p>
          <w:p w14:paraId="4CD98E93" w14:textId="77777777" w:rsidR="0039100A" w:rsidRPr="00460D4E" w:rsidRDefault="0039100A" w:rsidP="00460D4E">
            <w:pPr>
              <w:spacing w:line="276" w:lineRule="auto"/>
              <w:rPr>
                <w:rFonts w:ascii="Arial" w:hAnsi="Arial" w:cs="Arial"/>
                <w:sz w:val="24"/>
                <w:szCs w:val="24"/>
                <w:highlight w:val="yellow"/>
              </w:rPr>
            </w:pPr>
            <w:r w:rsidRPr="00460D4E">
              <w:rPr>
                <w:rFonts w:ascii="Arial" w:hAnsi="Arial" w:cs="Arial"/>
                <w:sz w:val="24"/>
                <w:szCs w:val="24"/>
                <w:highlight w:val="yellow"/>
              </w:rPr>
              <w:t xml:space="preserve"> </w:t>
            </w:r>
          </w:p>
        </w:tc>
      </w:tr>
      <w:tr w:rsidR="0039100A" w:rsidRPr="00460D4E" w14:paraId="5F392ABE" w14:textId="77777777" w:rsidTr="00947B29">
        <w:tc>
          <w:tcPr>
            <w:tcW w:w="4428" w:type="dxa"/>
          </w:tcPr>
          <w:p w14:paraId="0A867A6F" w14:textId="77777777" w:rsidR="0039100A" w:rsidRPr="00460D4E" w:rsidRDefault="0039100A" w:rsidP="00460D4E">
            <w:pPr>
              <w:spacing w:line="276" w:lineRule="auto"/>
              <w:rPr>
                <w:rFonts w:ascii="Arial" w:hAnsi="Arial" w:cs="Arial"/>
                <w:sz w:val="24"/>
                <w:szCs w:val="24"/>
              </w:rPr>
            </w:pPr>
            <w:r w:rsidRPr="00460D4E">
              <w:rPr>
                <w:rFonts w:ascii="Arial" w:hAnsi="Arial" w:cs="Arial"/>
                <w:sz w:val="24"/>
                <w:szCs w:val="24"/>
              </w:rPr>
              <w:lastRenderedPageBreak/>
              <w:t>Treasury Dealing with counterparties</w:t>
            </w:r>
          </w:p>
        </w:tc>
        <w:tc>
          <w:tcPr>
            <w:tcW w:w="4428" w:type="dxa"/>
          </w:tcPr>
          <w:p w14:paraId="64139B49" w14:textId="77777777" w:rsidR="0039100A" w:rsidRPr="00460D4E" w:rsidRDefault="00F21AF1" w:rsidP="00460D4E">
            <w:pPr>
              <w:spacing w:line="276" w:lineRule="auto"/>
              <w:rPr>
                <w:rFonts w:ascii="Arial" w:hAnsi="Arial" w:cs="Arial"/>
                <w:sz w:val="24"/>
                <w:szCs w:val="24"/>
              </w:rPr>
            </w:pPr>
            <w:r w:rsidRPr="00460D4E">
              <w:rPr>
                <w:rFonts w:ascii="Arial" w:hAnsi="Arial" w:cs="Arial"/>
                <w:sz w:val="24"/>
                <w:szCs w:val="24"/>
              </w:rPr>
              <w:t xml:space="preserve">Executive </w:t>
            </w:r>
            <w:r w:rsidR="0039100A" w:rsidRPr="00460D4E">
              <w:rPr>
                <w:rFonts w:ascii="Arial" w:hAnsi="Arial" w:cs="Arial"/>
                <w:sz w:val="24"/>
                <w:szCs w:val="24"/>
              </w:rPr>
              <w:t>Director of Finance /Head of Finance</w:t>
            </w:r>
          </w:p>
        </w:tc>
      </w:tr>
      <w:tr w:rsidR="00E2356C" w:rsidRPr="00460D4E" w14:paraId="02174971" w14:textId="77777777" w:rsidTr="00947B29">
        <w:tc>
          <w:tcPr>
            <w:tcW w:w="4428" w:type="dxa"/>
          </w:tcPr>
          <w:p w14:paraId="2F299217" w14:textId="77777777" w:rsidR="00E2356C" w:rsidRPr="00460D4E" w:rsidRDefault="00DB4CD0" w:rsidP="00460D4E">
            <w:pPr>
              <w:spacing w:line="276" w:lineRule="auto"/>
              <w:rPr>
                <w:rFonts w:ascii="Arial" w:hAnsi="Arial" w:cs="Arial"/>
                <w:sz w:val="24"/>
                <w:szCs w:val="24"/>
              </w:rPr>
            </w:pPr>
            <w:r w:rsidRPr="00460D4E">
              <w:rPr>
                <w:rFonts w:ascii="Arial" w:hAnsi="Arial" w:cs="Arial"/>
                <w:sz w:val="24"/>
                <w:szCs w:val="24"/>
              </w:rPr>
              <w:t>Selection/</w:t>
            </w:r>
            <w:r w:rsidR="00E2356C" w:rsidRPr="00460D4E">
              <w:rPr>
                <w:rFonts w:ascii="Arial" w:hAnsi="Arial" w:cs="Arial"/>
                <w:sz w:val="24"/>
                <w:szCs w:val="24"/>
              </w:rPr>
              <w:t>Use of External Managers – short term deposits</w:t>
            </w:r>
          </w:p>
        </w:tc>
        <w:tc>
          <w:tcPr>
            <w:tcW w:w="4428" w:type="dxa"/>
          </w:tcPr>
          <w:p w14:paraId="68D658BD" w14:textId="77777777" w:rsidR="00E2356C" w:rsidRPr="00460D4E" w:rsidRDefault="00F21AF1" w:rsidP="00460D4E">
            <w:pPr>
              <w:spacing w:line="276" w:lineRule="auto"/>
              <w:rPr>
                <w:rFonts w:ascii="Arial" w:hAnsi="Arial" w:cs="Arial"/>
                <w:sz w:val="24"/>
                <w:szCs w:val="24"/>
              </w:rPr>
            </w:pPr>
            <w:r w:rsidRPr="00460D4E">
              <w:rPr>
                <w:rFonts w:ascii="Arial" w:hAnsi="Arial" w:cs="Arial"/>
                <w:sz w:val="24"/>
                <w:szCs w:val="24"/>
              </w:rPr>
              <w:t xml:space="preserve">Executive </w:t>
            </w:r>
            <w:r w:rsidR="00E2356C" w:rsidRPr="00460D4E">
              <w:rPr>
                <w:rFonts w:ascii="Arial" w:hAnsi="Arial" w:cs="Arial"/>
                <w:sz w:val="24"/>
                <w:szCs w:val="24"/>
              </w:rPr>
              <w:t>Director of Finance</w:t>
            </w:r>
          </w:p>
        </w:tc>
      </w:tr>
      <w:tr w:rsidR="0039100A" w:rsidRPr="00460D4E" w14:paraId="649B7D11" w14:textId="77777777" w:rsidTr="00947B29">
        <w:tc>
          <w:tcPr>
            <w:tcW w:w="4428" w:type="dxa"/>
          </w:tcPr>
          <w:p w14:paraId="5269346A" w14:textId="77777777" w:rsidR="0039100A" w:rsidRPr="00460D4E" w:rsidRDefault="0039100A" w:rsidP="00460D4E">
            <w:pPr>
              <w:spacing w:line="276" w:lineRule="auto"/>
              <w:rPr>
                <w:rFonts w:ascii="Arial" w:hAnsi="Arial" w:cs="Arial"/>
                <w:sz w:val="24"/>
                <w:szCs w:val="24"/>
              </w:rPr>
            </w:pPr>
            <w:r w:rsidRPr="00460D4E">
              <w:rPr>
                <w:rFonts w:ascii="Arial" w:hAnsi="Arial" w:cs="Arial"/>
                <w:sz w:val="24"/>
                <w:szCs w:val="24"/>
              </w:rPr>
              <w:t>Authorisation of cash transfers</w:t>
            </w:r>
          </w:p>
        </w:tc>
        <w:tc>
          <w:tcPr>
            <w:tcW w:w="4428" w:type="dxa"/>
          </w:tcPr>
          <w:p w14:paraId="290CA17A" w14:textId="77777777" w:rsidR="0039100A" w:rsidRPr="00460D4E" w:rsidRDefault="00F21AF1" w:rsidP="00460D4E">
            <w:pPr>
              <w:spacing w:line="276" w:lineRule="auto"/>
              <w:rPr>
                <w:rFonts w:ascii="Arial" w:hAnsi="Arial" w:cs="Arial"/>
                <w:b/>
                <w:sz w:val="24"/>
                <w:szCs w:val="24"/>
              </w:rPr>
            </w:pPr>
            <w:r w:rsidRPr="00460D4E">
              <w:rPr>
                <w:rFonts w:ascii="Arial" w:hAnsi="Arial" w:cs="Arial"/>
                <w:sz w:val="24"/>
                <w:szCs w:val="24"/>
              </w:rPr>
              <w:t xml:space="preserve">Executive </w:t>
            </w:r>
            <w:r w:rsidR="0039100A" w:rsidRPr="00460D4E">
              <w:rPr>
                <w:rFonts w:ascii="Arial" w:hAnsi="Arial" w:cs="Arial"/>
                <w:sz w:val="24"/>
                <w:szCs w:val="24"/>
              </w:rPr>
              <w:t>Director of Finance /Head of Finance</w:t>
            </w:r>
          </w:p>
        </w:tc>
      </w:tr>
      <w:tr w:rsidR="0039100A" w:rsidRPr="00460D4E" w14:paraId="1FB7D325" w14:textId="77777777" w:rsidTr="00947B29">
        <w:tc>
          <w:tcPr>
            <w:tcW w:w="4428" w:type="dxa"/>
          </w:tcPr>
          <w:p w14:paraId="3C19D469" w14:textId="77777777" w:rsidR="0039100A" w:rsidRPr="00460D4E" w:rsidRDefault="0039100A" w:rsidP="00460D4E">
            <w:pPr>
              <w:spacing w:line="276" w:lineRule="auto"/>
              <w:rPr>
                <w:rFonts w:ascii="Arial" w:hAnsi="Arial" w:cs="Arial"/>
                <w:sz w:val="24"/>
                <w:szCs w:val="24"/>
              </w:rPr>
            </w:pPr>
            <w:r w:rsidRPr="00460D4E">
              <w:rPr>
                <w:rFonts w:ascii="Arial" w:hAnsi="Arial" w:cs="Arial"/>
                <w:sz w:val="24"/>
                <w:szCs w:val="24"/>
              </w:rPr>
              <w:t>Borrowing and lending documentation</w:t>
            </w:r>
          </w:p>
        </w:tc>
        <w:tc>
          <w:tcPr>
            <w:tcW w:w="4428" w:type="dxa"/>
          </w:tcPr>
          <w:p w14:paraId="45F694D0" w14:textId="77777777" w:rsidR="0039100A" w:rsidRPr="00460D4E" w:rsidRDefault="00F21AF1" w:rsidP="00460D4E">
            <w:pPr>
              <w:spacing w:line="276" w:lineRule="auto"/>
              <w:rPr>
                <w:rFonts w:ascii="Arial" w:hAnsi="Arial" w:cs="Arial"/>
                <w:b/>
                <w:sz w:val="24"/>
                <w:szCs w:val="24"/>
                <w:highlight w:val="yellow"/>
              </w:rPr>
            </w:pPr>
            <w:r w:rsidRPr="00460D4E">
              <w:rPr>
                <w:rFonts w:ascii="Arial" w:hAnsi="Arial" w:cs="Arial"/>
                <w:sz w:val="24"/>
                <w:szCs w:val="24"/>
              </w:rPr>
              <w:t xml:space="preserve">Executive </w:t>
            </w:r>
            <w:r w:rsidR="0039100A" w:rsidRPr="00460D4E">
              <w:rPr>
                <w:rFonts w:ascii="Arial" w:hAnsi="Arial" w:cs="Arial"/>
                <w:sz w:val="24"/>
                <w:szCs w:val="24"/>
              </w:rPr>
              <w:t xml:space="preserve">Director of Finance, </w:t>
            </w:r>
            <w:proofErr w:type="gramStart"/>
            <w:r w:rsidR="0039100A" w:rsidRPr="00460D4E">
              <w:rPr>
                <w:rFonts w:ascii="Arial" w:hAnsi="Arial" w:cs="Arial"/>
                <w:sz w:val="24"/>
                <w:szCs w:val="24"/>
              </w:rPr>
              <w:t>Strategy  and</w:t>
            </w:r>
            <w:proofErr w:type="gramEnd"/>
            <w:r w:rsidR="0039100A" w:rsidRPr="00460D4E">
              <w:rPr>
                <w:rFonts w:ascii="Arial" w:hAnsi="Arial" w:cs="Arial"/>
                <w:sz w:val="24"/>
                <w:szCs w:val="24"/>
              </w:rPr>
              <w:t xml:space="preserve"> Finance Committee and Board of</w:t>
            </w:r>
            <w:r w:rsidR="0039100A" w:rsidRPr="00460D4E">
              <w:rPr>
                <w:rFonts w:ascii="Arial" w:hAnsi="Arial" w:cs="Arial"/>
                <w:b/>
                <w:sz w:val="24"/>
                <w:szCs w:val="24"/>
              </w:rPr>
              <w:t xml:space="preserve"> </w:t>
            </w:r>
            <w:r w:rsidR="0039100A" w:rsidRPr="00460D4E">
              <w:rPr>
                <w:rFonts w:ascii="Arial" w:hAnsi="Arial" w:cs="Arial"/>
                <w:sz w:val="24"/>
                <w:szCs w:val="24"/>
              </w:rPr>
              <w:t>Governors</w:t>
            </w:r>
          </w:p>
        </w:tc>
      </w:tr>
      <w:tr w:rsidR="0039100A" w:rsidRPr="00460D4E" w14:paraId="0AC25CFA" w14:textId="77777777" w:rsidTr="00947B29">
        <w:tc>
          <w:tcPr>
            <w:tcW w:w="4428" w:type="dxa"/>
          </w:tcPr>
          <w:p w14:paraId="6A2BF546" w14:textId="77777777" w:rsidR="0039100A" w:rsidRPr="00460D4E" w:rsidRDefault="0039100A" w:rsidP="00460D4E">
            <w:pPr>
              <w:spacing w:line="276" w:lineRule="auto"/>
              <w:rPr>
                <w:rFonts w:ascii="Arial" w:hAnsi="Arial" w:cs="Arial"/>
                <w:sz w:val="24"/>
                <w:szCs w:val="24"/>
              </w:rPr>
            </w:pPr>
            <w:r w:rsidRPr="00460D4E">
              <w:rPr>
                <w:rFonts w:ascii="Arial" w:hAnsi="Arial" w:cs="Arial"/>
                <w:sz w:val="24"/>
                <w:szCs w:val="24"/>
              </w:rPr>
              <w:t>Banking and Dealing Mandates</w:t>
            </w:r>
          </w:p>
        </w:tc>
        <w:tc>
          <w:tcPr>
            <w:tcW w:w="4428" w:type="dxa"/>
          </w:tcPr>
          <w:p w14:paraId="336D7F88" w14:textId="77777777" w:rsidR="0039100A" w:rsidRPr="00460D4E" w:rsidRDefault="00F21AF1" w:rsidP="00460D4E">
            <w:pPr>
              <w:spacing w:line="276" w:lineRule="auto"/>
              <w:rPr>
                <w:rFonts w:ascii="Arial" w:hAnsi="Arial" w:cs="Arial"/>
                <w:b/>
                <w:sz w:val="24"/>
                <w:szCs w:val="24"/>
                <w:highlight w:val="yellow"/>
              </w:rPr>
            </w:pPr>
            <w:r w:rsidRPr="00460D4E">
              <w:rPr>
                <w:rFonts w:ascii="Arial" w:hAnsi="Arial" w:cs="Arial"/>
                <w:sz w:val="24"/>
                <w:szCs w:val="24"/>
              </w:rPr>
              <w:t xml:space="preserve">Executive </w:t>
            </w:r>
            <w:r w:rsidR="0039100A" w:rsidRPr="00460D4E">
              <w:rPr>
                <w:rFonts w:ascii="Arial" w:hAnsi="Arial" w:cs="Arial"/>
                <w:sz w:val="24"/>
                <w:szCs w:val="24"/>
              </w:rPr>
              <w:t>Director of Finance under the authority of Strategy and Finance Committee and Board of</w:t>
            </w:r>
            <w:r w:rsidR="0039100A" w:rsidRPr="00460D4E">
              <w:rPr>
                <w:rFonts w:ascii="Arial" w:hAnsi="Arial" w:cs="Arial"/>
                <w:b/>
                <w:sz w:val="24"/>
                <w:szCs w:val="24"/>
              </w:rPr>
              <w:t xml:space="preserve"> </w:t>
            </w:r>
            <w:r w:rsidR="0039100A" w:rsidRPr="00460D4E">
              <w:rPr>
                <w:rFonts w:ascii="Arial" w:hAnsi="Arial" w:cs="Arial"/>
                <w:sz w:val="24"/>
                <w:szCs w:val="24"/>
              </w:rPr>
              <w:t>Governors</w:t>
            </w:r>
          </w:p>
        </w:tc>
      </w:tr>
    </w:tbl>
    <w:p w14:paraId="63ACCB97" w14:textId="3FFA1EFC" w:rsidR="00460D4E" w:rsidRDefault="00460D4E" w:rsidP="00460D4E">
      <w:pPr>
        <w:spacing w:after="0" w:line="276" w:lineRule="auto"/>
        <w:rPr>
          <w:rFonts w:ascii="Arial" w:hAnsi="Arial" w:cs="Arial"/>
          <w:noProof/>
          <w:sz w:val="24"/>
          <w:szCs w:val="24"/>
          <w:lang w:eastAsia="en-GB"/>
        </w:rPr>
      </w:pPr>
    </w:p>
    <w:p w14:paraId="79836D6E" w14:textId="77777777" w:rsidR="00460D4E" w:rsidRDefault="00460D4E">
      <w:pPr>
        <w:rPr>
          <w:rFonts w:ascii="Arial" w:hAnsi="Arial" w:cs="Arial"/>
          <w:noProof/>
          <w:sz w:val="24"/>
          <w:szCs w:val="24"/>
          <w:lang w:eastAsia="en-GB"/>
        </w:rPr>
      </w:pPr>
      <w:r>
        <w:rPr>
          <w:rFonts w:ascii="Arial" w:hAnsi="Arial" w:cs="Arial"/>
          <w:noProof/>
          <w:sz w:val="24"/>
          <w:szCs w:val="24"/>
          <w:lang w:eastAsia="en-GB"/>
        </w:rPr>
        <w:br w:type="page"/>
      </w:r>
    </w:p>
    <w:p w14:paraId="5D758AC1" w14:textId="38D1CCDB" w:rsidR="00397F09" w:rsidRPr="00460D4E" w:rsidRDefault="00FB6A30" w:rsidP="00460D4E">
      <w:pPr>
        <w:spacing w:after="0" w:line="276" w:lineRule="auto"/>
        <w:jc w:val="right"/>
        <w:rPr>
          <w:rFonts w:ascii="Arial" w:hAnsi="Arial" w:cs="Arial"/>
          <w:noProof/>
          <w:sz w:val="24"/>
          <w:szCs w:val="24"/>
          <w:lang w:eastAsia="en-GB"/>
        </w:rPr>
      </w:pPr>
      <w:r w:rsidRPr="00460D4E">
        <w:rPr>
          <w:rFonts w:ascii="Arial" w:hAnsi="Arial" w:cs="Arial"/>
          <w:noProof/>
          <w:sz w:val="24"/>
          <w:szCs w:val="24"/>
          <w:lang w:eastAsia="en-GB"/>
        </w:rPr>
        <w:lastRenderedPageBreak/>
        <w:drawing>
          <wp:inline distT="0" distB="0" distL="0" distR="0" wp14:anchorId="361376DA" wp14:editId="23C35BB2">
            <wp:extent cx="2038350" cy="609600"/>
            <wp:effectExtent l="0" t="0" r="0" b="0"/>
            <wp:docPr id="4" name="Picture 4" descr="TEFemail"/>
            <wp:cNvGraphicFramePr/>
            <a:graphic xmlns:a="http://schemas.openxmlformats.org/drawingml/2006/main">
              <a:graphicData uri="http://schemas.openxmlformats.org/drawingml/2006/picture">
                <pic:pic xmlns:pic="http://schemas.openxmlformats.org/drawingml/2006/picture">
                  <pic:nvPicPr>
                    <pic:cNvPr id="1" name="Picture 1" descr="TEFemail"/>
                    <pic:cNvPicPr/>
                  </pic:nvPicPr>
                  <pic:blipFill rotWithShape="1">
                    <a:blip r:embed="rId8">
                      <a:extLst>
                        <a:ext uri="{28A0092B-C50C-407E-A947-70E740481C1C}">
                          <a14:useLocalDpi xmlns:a14="http://schemas.microsoft.com/office/drawing/2010/main" val="0"/>
                        </a:ext>
                      </a:extLst>
                    </a:blip>
                    <a:srcRect b="42953"/>
                    <a:stretch/>
                  </pic:blipFill>
                  <pic:spPr bwMode="auto">
                    <a:xfrm>
                      <a:off x="0" y="0"/>
                      <a:ext cx="203835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7250847" w14:textId="32BB372D" w:rsidR="00460D4E" w:rsidRPr="00460D4E" w:rsidRDefault="00460D4E" w:rsidP="00460D4E">
      <w:pPr>
        <w:pStyle w:val="Heading1"/>
      </w:pPr>
      <w:r w:rsidRPr="00460D4E">
        <w:t>ETHICAL INVESTMENT POLICY</w:t>
      </w:r>
    </w:p>
    <w:p w14:paraId="0A64BBCD" w14:textId="77777777" w:rsidR="00AF3D6C" w:rsidRPr="00460D4E" w:rsidRDefault="00AF3D6C" w:rsidP="00460D4E">
      <w:pPr>
        <w:pStyle w:val="Heading2"/>
      </w:pPr>
      <w:r w:rsidRPr="00460D4E">
        <w:t>1</w:t>
      </w:r>
      <w:r w:rsidRPr="00460D4E">
        <w:tab/>
        <w:t>Purpose &amp; Scope</w:t>
      </w:r>
    </w:p>
    <w:p w14:paraId="55856E9E" w14:textId="77777777" w:rsidR="00AF3D6C" w:rsidRPr="00460D4E" w:rsidRDefault="00AF3D6C" w:rsidP="00460D4E">
      <w:pPr>
        <w:spacing w:after="0" w:line="276" w:lineRule="auto"/>
        <w:rPr>
          <w:rFonts w:ascii="Arial" w:hAnsi="Arial" w:cs="Arial"/>
          <w:b/>
          <w:sz w:val="24"/>
          <w:szCs w:val="24"/>
        </w:rPr>
      </w:pPr>
    </w:p>
    <w:p w14:paraId="1D2EF101" w14:textId="2798BAC1" w:rsidR="00AF3D6C" w:rsidRDefault="00AF3D6C" w:rsidP="00460D4E">
      <w:pPr>
        <w:spacing w:after="0" w:line="276" w:lineRule="auto"/>
        <w:rPr>
          <w:rFonts w:ascii="Arial" w:hAnsi="Arial" w:cs="Arial"/>
          <w:sz w:val="24"/>
          <w:szCs w:val="24"/>
        </w:rPr>
      </w:pPr>
      <w:r w:rsidRPr="00460D4E">
        <w:rPr>
          <w:rFonts w:ascii="Arial" w:hAnsi="Arial" w:cs="Arial"/>
          <w:sz w:val="24"/>
          <w:szCs w:val="24"/>
        </w:rPr>
        <w:t>To ensure that investments match the priorities and values of the Group, an Ethical Investment Policy has been developed. This Policy is intended to support the Group’s aims to invest its funds with due consideration for ethical, environmental, corporate governance and social issues. The policy applies to all staff, students and other stakeholders of the Group and aims to give stakeholders a voice in ethical, environmental and sustainability matters.</w:t>
      </w:r>
    </w:p>
    <w:p w14:paraId="4C05E4F3" w14:textId="77777777" w:rsidR="00460D4E" w:rsidRPr="00460D4E" w:rsidRDefault="00460D4E" w:rsidP="00460D4E">
      <w:pPr>
        <w:spacing w:after="0" w:line="276" w:lineRule="auto"/>
        <w:rPr>
          <w:rFonts w:ascii="Arial" w:hAnsi="Arial" w:cs="Arial"/>
          <w:b/>
          <w:sz w:val="24"/>
          <w:szCs w:val="24"/>
          <w:u w:val="single"/>
        </w:rPr>
      </w:pPr>
    </w:p>
    <w:p w14:paraId="2CE08782" w14:textId="77777777" w:rsidR="00AF3D6C" w:rsidRPr="00460D4E" w:rsidRDefault="00AF3D6C" w:rsidP="00460D4E">
      <w:pPr>
        <w:pStyle w:val="Heading2"/>
      </w:pPr>
      <w:r w:rsidRPr="00460D4E">
        <w:t>2</w:t>
      </w:r>
      <w:r w:rsidRPr="00460D4E">
        <w:tab/>
        <w:t>Investment objective</w:t>
      </w:r>
    </w:p>
    <w:p w14:paraId="3CBB5F64" w14:textId="77777777" w:rsidR="00AF3D6C" w:rsidRPr="00460D4E" w:rsidRDefault="00AF3D6C" w:rsidP="00460D4E">
      <w:pPr>
        <w:spacing w:after="0" w:line="276" w:lineRule="auto"/>
        <w:rPr>
          <w:rFonts w:ascii="Arial" w:hAnsi="Arial" w:cs="Arial"/>
          <w:b/>
          <w:sz w:val="24"/>
          <w:szCs w:val="24"/>
        </w:rPr>
      </w:pPr>
    </w:p>
    <w:p w14:paraId="7B475F02" w14:textId="77777777" w:rsidR="00AF3D6C" w:rsidRPr="00460D4E" w:rsidRDefault="00AF3D6C" w:rsidP="00460D4E">
      <w:pPr>
        <w:spacing w:after="0" w:line="276" w:lineRule="auto"/>
        <w:rPr>
          <w:rFonts w:ascii="Arial" w:hAnsi="Arial" w:cs="Arial"/>
          <w:sz w:val="24"/>
          <w:szCs w:val="24"/>
        </w:rPr>
      </w:pPr>
      <w:r w:rsidRPr="00460D4E">
        <w:rPr>
          <w:rFonts w:ascii="Arial" w:hAnsi="Arial" w:cs="Arial"/>
          <w:sz w:val="24"/>
          <w:szCs w:val="24"/>
        </w:rPr>
        <w:t>The objective for any lending or investing of funds is to achieve the best possible return whilst minimising risk and preserving capital value. The overriding principle being the avoidance of risk over the maximising of return.</w:t>
      </w:r>
    </w:p>
    <w:p w14:paraId="7C14CE34" w14:textId="77777777" w:rsidR="00AF3D6C" w:rsidRPr="00460D4E" w:rsidRDefault="00AF3D6C" w:rsidP="00460D4E">
      <w:pPr>
        <w:spacing w:after="0" w:line="276" w:lineRule="auto"/>
        <w:rPr>
          <w:rFonts w:ascii="Arial" w:hAnsi="Arial" w:cs="Arial"/>
          <w:sz w:val="24"/>
          <w:szCs w:val="24"/>
        </w:rPr>
      </w:pPr>
    </w:p>
    <w:p w14:paraId="7FED0154" w14:textId="40635AC3" w:rsidR="00AF3D6C" w:rsidRDefault="00AF3D6C" w:rsidP="00460D4E">
      <w:pPr>
        <w:spacing w:after="0" w:line="276" w:lineRule="auto"/>
        <w:rPr>
          <w:rFonts w:ascii="Arial" w:hAnsi="Arial" w:cs="Arial"/>
          <w:sz w:val="24"/>
          <w:szCs w:val="24"/>
        </w:rPr>
      </w:pPr>
      <w:r w:rsidRPr="00460D4E">
        <w:rPr>
          <w:rFonts w:ascii="Arial" w:hAnsi="Arial" w:cs="Arial"/>
          <w:sz w:val="24"/>
          <w:szCs w:val="24"/>
        </w:rPr>
        <w:t>The Strategy and Finance Committee expects the selection, retention, and realisation of all treasury investments to be done in a manner which is consistent with the Group’s investment objectives and legal duties. The Group also seeks adequate assurance from its depositors that they satisfy ethical requirements.</w:t>
      </w:r>
    </w:p>
    <w:p w14:paraId="247C5A7C" w14:textId="77777777" w:rsidR="00460D4E" w:rsidRPr="00460D4E" w:rsidRDefault="00460D4E" w:rsidP="00460D4E">
      <w:pPr>
        <w:spacing w:after="0" w:line="276" w:lineRule="auto"/>
        <w:rPr>
          <w:rFonts w:ascii="Arial" w:hAnsi="Arial" w:cs="Arial"/>
          <w:sz w:val="24"/>
          <w:szCs w:val="24"/>
        </w:rPr>
      </w:pPr>
    </w:p>
    <w:p w14:paraId="4258E675" w14:textId="77777777" w:rsidR="00AF3D6C" w:rsidRPr="00460D4E" w:rsidRDefault="0057172B" w:rsidP="00460D4E">
      <w:pPr>
        <w:pStyle w:val="Heading2"/>
      </w:pPr>
      <w:r w:rsidRPr="00460D4E">
        <w:t>3</w:t>
      </w:r>
      <w:r w:rsidRPr="00460D4E">
        <w:tab/>
      </w:r>
      <w:r w:rsidR="00AF3D6C" w:rsidRPr="00460D4E">
        <w:t>Ethical Investment</w:t>
      </w:r>
    </w:p>
    <w:p w14:paraId="678DE28E" w14:textId="77777777" w:rsidR="0057172B" w:rsidRPr="00460D4E" w:rsidRDefault="0057172B" w:rsidP="00460D4E">
      <w:pPr>
        <w:spacing w:after="0" w:line="276" w:lineRule="auto"/>
        <w:rPr>
          <w:rFonts w:ascii="Arial" w:hAnsi="Arial" w:cs="Arial"/>
          <w:b/>
          <w:sz w:val="24"/>
          <w:szCs w:val="24"/>
        </w:rPr>
      </w:pPr>
    </w:p>
    <w:p w14:paraId="49394970" w14:textId="77777777" w:rsidR="00AF3D6C" w:rsidRPr="00460D4E" w:rsidRDefault="00AF3D6C" w:rsidP="00460D4E">
      <w:pPr>
        <w:spacing w:after="0" w:line="276" w:lineRule="auto"/>
        <w:rPr>
          <w:rFonts w:ascii="Arial" w:hAnsi="Arial" w:cs="Arial"/>
          <w:sz w:val="24"/>
          <w:szCs w:val="24"/>
        </w:rPr>
      </w:pPr>
      <w:r w:rsidRPr="00460D4E">
        <w:rPr>
          <w:rFonts w:ascii="Arial" w:hAnsi="Arial" w:cs="Arial"/>
          <w:sz w:val="24"/>
          <w:szCs w:val="24"/>
        </w:rPr>
        <w:t xml:space="preserve">The Group will only invest in businesses that demonstrate a morally positive and sustainable approach to the environment, </w:t>
      </w:r>
      <w:proofErr w:type="gramStart"/>
      <w:r w:rsidRPr="00460D4E">
        <w:rPr>
          <w:rFonts w:ascii="Arial" w:hAnsi="Arial" w:cs="Arial"/>
          <w:sz w:val="24"/>
          <w:szCs w:val="24"/>
        </w:rPr>
        <w:t>governance</w:t>
      </w:r>
      <w:proofErr w:type="gramEnd"/>
      <w:r w:rsidRPr="00460D4E">
        <w:rPr>
          <w:rFonts w:ascii="Arial" w:hAnsi="Arial" w:cs="Arial"/>
          <w:sz w:val="24"/>
          <w:szCs w:val="24"/>
        </w:rPr>
        <w:t xml:space="preserve"> and society</w:t>
      </w:r>
      <w:r w:rsidR="005A623F" w:rsidRPr="00460D4E">
        <w:rPr>
          <w:rFonts w:ascii="Arial" w:hAnsi="Arial" w:cs="Arial"/>
          <w:sz w:val="24"/>
          <w:szCs w:val="24"/>
        </w:rPr>
        <w:t xml:space="preserve"> (excluding Financial Institutions)</w:t>
      </w:r>
      <w:r w:rsidRPr="00460D4E">
        <w:rPr>
          <w:rFonts w:ascii="Arial" w:hAnsi="Arial" w:cs="Arial"/>
          <w:sz w:val="24"/>
          <w:szCs w:val="24"/>
        </w:rPr>
        <w:t>.</w:t>
      </w:r>
    </w:p>
    <w:p w14:paraId="35C31E16" w14:textId="77777777" w:rsidR="00C23012" w:rsidRPr="00460D4E" w:rsidRDefault="00C23012" w:rsidP="00460D4E">
      <w:pPr>
        <w:spacing w:after="0" w:line="276" w:lineRule="auto"/>
        <w:rPr>
          <w:rFonts w:ascii="Arial" w:hAnsi="Arial" w:cs="Arial"/>
          <w:sz w:val="24"/>
          <w:szCs w:val="24"/>
        </w:rPr>
      </w:pPr>
    </w:p>
    <w:p w14:paraId="19660803" w14:textId="77777777" w:rsidR="00AF3D6C" w:rsidRPr="00460D4E" w:rsidRDefault="00AF3D6C" w:rsidP="00460D4E">
      <w:pPr>
        <w:spacing w:after="0" w:line="276" w:lineRule="auto"/>
        <w:rPr>
          <w:rFonts w:ascii="Arial" w:hAnsi="Arial" w:cs="Arial"/>
          <w:sz w:val="24"/>
          <w:szCs w:val="24"/>
        </w:rPr>
      </w:pPr>
      <w:r w:rsidRPr="00460D4E">
        <w:rPr>
          <w:rFonts w:ascii="Arial" w:hAnsi="Arial" w:cs="Arial"/>
          <w:sz w:val="24"/>
          <w:szCs w:val="24"/>
        </w:rPr>
        <w:t>When making investment decisions, the Group will:</w:t>
      </w:r>
    </w:p>
    <w:p w14:paraId="7A4E22A5" w14:textId="77777777" w:rsidR="003D0CE3" w:rsidRPr="00460D4E" w:rsidRDefault="003D0CE3" w:rsidP="00460D4E">
      <w:pPr>
        <w:spacing w:after="0" w:line="276" w:lineRule="auto"/>
        <w:rPr>
          <w:rFonts w:ascii="Arial" w:hAnsi="Arial" w:cs="Arial"/>
          <w:sz w:val="24"/>
          <w:szCs w:val="24"/>
        </w:rPr>
      </w:pPr>
    </w:p>
    <w:p w14:paraId="2293FFB1" w14:textId="025D73FC" w:rsidR="00AF3D6C" w:rsidRPr="00460D4E" w:rsidRDefault="00AF3D6C" w:rsidP="00460D4E">
      <w:pPr>
        <w:pStyle w:val="ListParagraph"/>
        <w:numPr>
          <w:ilvl w:val="0"/>
          <w:numId w:val="9"/>
        </w:numPr>
        <w:spacing w:after="0" w:line="276" w:lineRule="auto"/>
        <w:rPr>
          <w:rFonts w:ascii="Arial" w:hAnsi="Arial" w:cs="Arial"/>
          <w:sz w:val="24"/>
          <w:szCs w:val="24"/>
        </w:rPr>
      </w:pPr>
      <w:r w:rsidRPr="00460D4E">
        <w:rPr>
          <w:rFonts w:ascii="Arial" w:hAnsi="Arial" w:cs="Arial"/>
          <w:sz w:val="24"/>
          <w:szCs w:val="24"/>
        </w:rPr>
        <w:t>Apply good practice in human rights</w:t>
      </w:r>
      <w:r w:rsidR="007B02D2" w:rsidRPr="00460D4E">
        <w:rPr>
          <w:rFonts w:ascii="Arial" w:hAnsi="Arial" w:cs="Arial"/>
          <w:sz w:val="24"/>
          <w:szCs w:val="24"/>
        </w:rPr>
        <w:t>.</w:t>
      </w:r>
    </w:p>
    <w:p w14:paraId="22C4E492" w14:textId="56372C6A" w:rsidR="00AF3D6C" w:rsidRPr="00460D4E" w:rsidRDefault="00AF3D6C" w:rsidP="00460D4E">
      <w:pPr>
        <w:pStyle w:val="ListParagraph"/>
        <w:numPr>
          <w:ilvl w:val="0"/>
          <w:numId w:val="9"/>
        </w:numPr>
        <w:spacing w:after="0" w:line="276" w:lineRule="auto"/>
        <w:rPr>
          <w:rFonts w:ascii="Arial" w:hAnsi="Arial" w:cs="Arial"/>
          <w:sz w:val="24"/>
          <w:szCs w:val="24"/>
        </w:rPr>
      </w:pPr>
      <w:r w:rsidRPr="00460D4E">
        <w:rPr>
          <w:rFonts w:ascii="Arial" w:hAnsi="Arial" w:cs="Arial"/>
          <w:sz w:val="24"/>
          <w:szCs w:val="24"/>
        </w:rPr>
        <w:t>Ensure corporate decisions and actions give due consideration to the global environment and climate</w:t>
      </w:r>
      <w:r w:rsidR="007B02D2" w:rsidRPr="00460D4E">
        <w:rPr>
          <w:rFonts w:ascii="Arial" w:hAnsi="Arial" w:cs="Arial"/>
          <w:sz w:val="24"/>
          <w:szCs w:val="24"/>
        </w:rPr>
        <w:t>.</w:t>
      </w:r>
    </w:p>
    <w:p w14:paraId="76818283" w14:textId="1DAFBC3F" w:rsidR="00AF3D6C" w:rsidRPr="00460D4E" w:rsidRDefault="00AF3D6C" w:rsidP="00460D4E">
      <w:pPr>
        <w:pStyle w:val="ListParagraph"/>
        <w:numPr>
          <w:ilvl w:val="0"/>
          <w:numId w:val="9"/>
        </w:numPr>
        <w:spacing w:after="0" w:line="276" w:lineRule="auto"/>
        <w:rPr>
          <w:rFonts w:ascii="Arial" w:hAnsi="Arial" w:cs="Arial"/>
          <w:sz w:val="24"/>
          <w:szCs w:val="24"/>
        </w:rPr>
      </w:pPr>
      <w:r w:rsidRPr="00460D4E">
        <w:rPr>
          <w:rFonts w:ascii="Arial" w:hAnsi="Arial" w:cs="Arial"/>
          <w:sz w:val="24"/>
          <w:szCs w:val="24"/>
        </w:rPr>
        <w:t>Ensure transparent investment processes and practices</w:t>
      </w:r>
      <w:r w:rsidR="007B02D2" w:rsidRPr="00460D4E">
        <w:rPr>
          <w:rFonts w:ascii="Arial" w:hAnsi="Arial" w:cs="Arial"/>
          <w:sz w:val="24"/>
          <w:szCs w:val="24"/>
        </w:rPr>
        <w:t>.</w:t>
      </w:r>
    </w:p>
    <w:p w14:paraId="6178D4BF" w14:textId="79D59047" w:rsidR="00AF3D6C" w:rsidRPr="00460D4E" w:rsidRDefault="00AF3D6C" w:rsidP="00460D4E">
      <w:pPr>
        <w:pStyle w:val="ListParagraph"/>
        <w:numPr>
          <w:ilvl w:val="0"/>
          <w:numId w:val="9"/>
        </w:numPr>
        <w:spacing w:after="0" w:line="276" w:lineRule="auto"/>
        <w:rPr>
          <w:rFonts w:ascii="Arial" w:hAnsi="Arial" w:cs="Arial"/>
          <w:sz w:val="24"/>
          <w:szCs w:val="24"/>
        </w:rPr>
      </w:pPr>
      <w:r w:rsidRPr="00460D4E">
        <w:rPr>
          <w:rFonts w:ascii="Arial" w:hAnsi="Arial" w:cs="Arial"/>
          <w:sz w:val="24"/>
          <w:szCs w:val="24"/>
        </w:rPr>
        <w:t>Engage in sustainable provision and procurement of resources and services</w:t>
      </w:r>
      <w:r w:rsidR="007B02D2" w:rsidRPr="00460D4E">
        <w:rPr>
          <w:rFonts w:ascii="Arial" w:hAnsi="Arial" w:cs="Arial"/>
          <w:sz w:val="24"/>
          <w:szCs w:val="24"/>
        </w:rPr>
        <w:t>.</w:t>
      </w:r>
    </w:p>
    <w:p w14:paraId="738698A6" w14:textId="110CFA5E" w:rsidR="00AF3D6C" w:rsidRPr="00460D4E" w:rsidRDefault="00AF3D6C" w:rsidP="00460D4E">
      <w:pPr>
        <w:pStyle w:val="ListParagraph"/>
        <w:numPr>
          <w:ilvl w:val="0"/>
          <w:numId w:val="9"/>
        </w:numPr>
        <w:spacing w:after="0" w:line="276" w:lineRule="auto"/>
        <w:rPr>
          <w:rFonts w:ascii="Arial" w:hAnsi="Arial" w:cs="Arial"/>
          <w:sz w:val="24"/>
          <w:szCs w:val="24"/>
        </w:rPr>
      </w:pPr>
      <w:r w:rsidRPr="00460D4E">
        <w:rPr>
          <w:rFonts w:ascii="Arial" w:hAnsi="Arial" w:cs="Arial"/>
          <w:sz w:val="24"/>
          <w:szCs w:val="24"/>
        </w:rPr>
        <w:t>Engage in best corporate governance practice</w:t>
      </w:r>
      <w:r w:rsidR="007B02D2" w:rsidRPr="00460D4E">
        <w:rPr>
          <w:rFonts w:ascii="Arial" w:hAnsi="Arial" w:cs="Arial"/>
          <w:sz w:val="24"/>
          <w:szCs w:val="24"/>
        </w:rPr>
        <w:t>.</w:t>
      </w:r>
      <w:r w:rsidRPr="00460D4E">
        <w:rPr>
          <w:rFonts w:ascii="Arial" w:hAnsi="Arial" w:cs="Arial"/>
          <w:sz w:val="24"/>
          <w:szCs w:val="24"/>
        </w:rPr>
        <w:t xml:space="preserve"> </w:t>
      </w:r>
    </w:p>
    <w:p w14:paraId="0D9AFC6A" w14:textId="39EDA451" w:rsidR="00AF3D6C" w:rsidRPr="00460D4E" w:rsidRDefault="00AF3D6C" w:rsidP="00460D4E">
      <w:pPr>
        <w:pStyle w:val="ListParagraph"/>
        <w:numPr>
          <w:ilvl w:val="0"/>
          <w:numId w:val="9"/>
        </w:numPr>
        <w:spacing w:after="0" w:line="276" w:lineRule="auto"/>
        <w:rPr>
          <w:rFonts w:ascii="Arial" w:hAnsi="Arial" w:cs="Arial"/>
          <w:sz w:val="24"/>
          <w:szCs w:val="24"/>
        </w:rPr>
      </w:pPr>
      <w:r w:rsidRPr="00460D4E">
        <w:rPr>
          <w:rFonts w:ascii="Arial" w:hAnsi="Arial" w:cs="Arial"/>
          <w:sz w:val="24"/>
          <w:szCs w:val="24"/>
        </w:rPr>
        <w:t>Seek to increase investment in positive environmental activities, such as renewable energy companies or funds</w:t>
      </w:r>
      <w:r w:rsidR="007B02D2" w:rsidRPr="00460D4E">
        <w:rPr>
          <w:rFonts w:ascii="Arial" w:hAnsi="Arial" w:cs="Arial"/>
          <w:sz w:val="24"/>
          <w:szCs w:val="24"/>
        </w:rPr>
        <w:t>.</w:t>
      </w:r>
    </w:p>
    <w:p w14:paraId="0DD21566" w14:textId="6CC58BCB" w:rsidR="00AF3D6C" w:rsidRPr="00460D4E" w:rsidRDefault="00AF3D6C" w:rsidP="00460D4E">
      <w:pPr>
        <w:pStyle w:val="ListParagraph"/>
        <w:numPr>
          <w:ilvl w:val="0"/>
          <w:numId w:val="9"/>
        </w:numPr>
        <w:spacing w:after="0" w:line="276" w:lineRule="auto"/>
        <w:rPr>
          <w:rFonts w:ascii="Arial" w:hAnsi="Arial" w:cs="Arial"/>
          <w:sz w:val="24"/>
          <w:szCs w:val="24"/>
        </w:rPr>
      </w:pPr>
      <w:r w:rsidRPr="00460D4E">
        <w:rPr>
          <w:rFonts w:ascii="Arial" w:hAnsi="Arial" w:cs="Arial"/>
          <w:sz w:val="24"/>
          <w:szCs w:val="24"/>
        </w:rPr>
        <w:t xml:space="preserve">Not invest in activities which </w:t>
      </w:r>
      <w:proofErr w:type="gramStart"/>
      <w:r w:rsidRPr="00460D4E">
        <w:rPr>
          <w:rFonts w:ascii="Arial" w:hAnsi="Arial" w:cs="Arial"/>
          <w:sz w:val="24"/>
          <w:szCs w:val="24"/>
        </w:rPr>
        <w:t>are considered to be</w:t>
      </w:r>
      <w:proofErr w:type="gramEnd"/>
      <w:r w:rsidRPr="00460D4E">
        <w:rPr>
          <w:rFonts w:ascii="Arial" w:hAnsi="Arial" w:cs="Arial"/>
          <w:sz w:val="24"/>
          <w:szCs w:val="24"/>
        </w:rPr>
        <w:t xml:space="preserve"> unethical or alienate financial supporters or have a material negative impact on potential students</w:t>
      </w:r>
      <w:r w:rsidR="007B02D2" w:rsidRPr="00460D4E">
        <w:rPr>
          <w:rFonts w:ascii="Arial" w:hAnsi="Arial" w:cs="Arial"/>
          <w:sz w:val="24"/>
          <w:szCs w:val="24"/>
        </w:rPr>
        <w:t>.</w:t>
      </w:r>
    </w:p>
    <w:p w14:paraId="4F8BA7F2" w14:textId="7190D8D0" w:rsidR="00AF3D6C" w:rsidRPr="00460D4E" w:rsidRDefault="00AF3D6C" w:rsidP="00460D4E">
      <w:pPr>
        <w:pStyle w:val="ListParagraph"/>
        <w:numPr>
          <w:ilvl w:val="0"/>
          <w:numId w:val="9"/>
        </w:numPr>
        <w:spacing w:after="0" w:line="276" w:lineRule="auto"/>
        <w:rPr>
          <w:rFonts w:ascii="Arial" w:hAnsi="Arial" w:cs="Arial"/>
          <w:sz w:val="24"/>
          <w:szCs w:val="24"/>
        </w:rPr>
      </w:pPr>
      <w:r w:rsidRPr="00460D4E">
        <w:rPr>
          <w:rFonts w:ascii="Arial" w:hAnsi="Arial" w:cs="Arial"/>
          <w:sz w:val="24"/>
          <w:szCs w:val="24"/>
        </w:rPr>
        <w:t>Encourage anyone wishing to challenge the Group’s practices on the grounds of ethical investment to raise their concerns</w:t>
      </w:r>
      <w:r w:rsidR="007B02D2" w:rsidRPr="00460D4E">
        <w:rPr>
          <w:rFonts w:ascii="Arial" w:hAnsi="Arial" w:cs="Arial"/>
          <w:sz w:val="24"/>
          <w:szCs w:val="24"/>
        </w:rPr>
        <w:t>.</w:t>
      </w:r>
    </w:p>
    <w:p w14:paraId="3BB6CA1A" w14:textId="77777777" w:rsidR="00AF3D6C" w:rsidRPr="00460D4E" w:rsidRDefault="00AF3D6C" w:rsidP="00460D4E">
      <w:pPr>
        <w:spacing w:after="0" w:line="276" w:lineRule="auto"/>
        <w:rPr>
          <w:rFonts w:ascii="Arial" w:hAnsi="Arial" w:cs="Arial"/>
          <w:sz w:val="24"/>
          <w:szCs w:val="24"/>
        </w:rPr>
      </w:pPr>
    </w:p>
    <w:p w14:paraId="6E742374" w14:textId="77777777" w:rsidR="00AF3D6C" w:rsidRPr="00460D4E" w:rsidRDefault="00AF3D6C" w:rsidP="00460D4E">
      <w:pPr>
        <w:spacing w:after="0" w:line="276" w:lineRule="auto"/>
        <w:rPr>
          <w:rFonts w:ascii="Arial" w:hAnsi="Arial" w:cs="Arial"/>
          <w:sz w:val="24"/>
          <w:szCs w:val="24"/>
        </w:rPr>
      </w:pPr>
      <w:r w:rsidRPr="00460D4E">
        <w:rPr>
          <w:rFonts w:ascii="Arial" w:hAnsi="Arial" w:cs="Arial"/>
          <w:sz w:val="24"/>
          <w:szCs w:val="24"/>
        </w:rPr>
        <w:t>The Group will not make intentional direct investments (including through collective funds) in companies of the following type:</w:t>
      </w:r>
    </w:p>
    <w:p w14:paraId="78811B70" w14:textId="77777777" w:rsidR="005A623F" w:rsidRPr="00460D4E" w:rsidRDefault="005A623F" w:rsidP="00460D4E">
      <w:pPr>
        <w:spacing w:after="0" w:line="276" w:lineRule="auto"/>
        <w:rPr>
          <w:rFonts w:ascii="Arial" w:hAnsi="Arial" w:cs="Arial"/>
          <w:sz w:val="24"/>
          <w:szCs w:val="24"/>
        </w:rPr>
      </w:pPr>
    </w:p>
    <w:p w14:paraId="0C069319" w14:textId="77777777" w:rsidR="00AF3D6C" w:rsidRPr="00460D4E" w:rsidRDefault="00AF3D6C" w:rsidP="00460D4E">
      <w:pPr>
        <w:pStyle w:val="ListParagraph"/>
        <w:numPr>
          <w:ilvl w:val="0"/>
          <w:numId w:val="10"/>
        </w:numPr>
        <w:spacing w:after="0" w:line="276" w:lineRule="auto"/>
        <w:rPr>
          <w:rFonts w:ascii="Arial" w:hAnsi="Arial" w:cs="Arial"/>
          <w:sz w:val="24"/>
          <w:szCs w:val="24"/>
        </w:rPr>
      </w:pPr>
      <w:r w:rsidRPr="00460D4E">
        <w:rPr>
          <w:rFonts w:ascii="Arial" w:hAnsi="Arial" w:cs="Arial"/>
          <w:sz w:val="24"/>
          <w:szCs w:val="24"/>
        </w:rPr>
        <w:t>Fossil Fuel companies</w:t>
      </w:r>
    </w:p>
    <w:p w14:paraId="7345DFD9" w14:textId="77777777" w:rsidR="00AF3D6C" w:rsidRPr="00460D4E" w:rsidRDefault="00AF3D6C" w:rsidP="00460D4E">
      <w:pPr>
        <w:pStyle w:val="ListParagraph"/>
        <w:numPr>
          <w:ilvl w:val="0"/>
          <w:numId w:val="10"/>
        </w:numPr>
        <w:spacing w:after="0" w:line="276" w:lineRule="auto"/>
        <w:rPr>
          <w:rFonts w:ascii="Arial" w:hAnsi="Arial" w:cs="Arial"/>
          <w:sz w:val="24"/>
          <w:szCs w:val="24"/>
        </w:rPr>
      </w:pPr>
      <w:r w:rsidRPr="00460D4E">
        <w:rPr>
          <w:rFonts w:ascii="Arial" w:hAnsi="Arial" w:cs="Arial"/>
          <w:sz w:val="24"/>
          <w:szCs w:val="24"/>
        </w:rPr>
        <w:t>Arms companies</w:t>
      </w:r>
    </w:p>
    <w:p w14:paraId="5AA989C2" w14:textId="77777777" w:rsidR="00AF3D6C" w:rsidRPr="00460D4E" w:rsidRDefault="00AF3D6C" w:rsidP="00460D4E">
      <w:pPr>
        <w:pStyle w:val="ListParagraph"/>
        <w:numPr>
          <w:ilvl w:val="0"/>
          <w:numId w:val="10"/>
        </w:numPr>
        <w:spacing w:after="0" w:line="276" w:lineRule="auto"/>
        <w:rPr>
          <w:rFonts w:ascii="Arial" w:hAnsi="Arial" w:cs="Arial"/>
          <w:sz w:val="24"/>
          <w:szCs w:val="24"/>
        </w:rPr>
      </w:pPr>
      <w:r w:rsidRPr="00460D4E">
        <w:rPr>
          <w:rFonts w:ascii="Arial" w:hAnsi="Arial" w:cs="Arial"/>
          <w:sz w:val="24"/>
          <w:szCs w:val="24"/>
        </w:rPr>
        <w:t>Corporations complicit in the violation of international law</w:t>
      </w:r>
    </w:p>
    <w:p w14:paraId="3516B01E" w14:textId="77777777" w:rsidR="00D13621" w:rsidRPr="00460D4E" w:rsidRDefault="00D13621" w:rsidP="00460D4E">
      <w:pPr>
        <w:spacing w:after="0" w:line="276" w:lineRule="auto"/>
        <w:rPr>
          <w:rFonts w:ascii="Arial" w:hAnsi="Arial" w:cs="Arial"/>
          <w:sz w:val="24"/>
          <w:szCs w:val="24"/>
        </w:rPr>
      </w:pPr>
    </w:p>
    <w:p w14:paraId="4196F439" w14:textId="56DD3C7A" w:rsidR="00AF3D6C" w:rsidRDefault="00D13621" w:rsidP="00460D4E">
      <w:pPr>
        <w:spacing w:after="0" w:line="276" w:lineRule="auto"/>
        <w:rPr>
          <w:rFonts w:ascii="Arial" w:hAnsi="Arial" w:cs="Arial"/>
          <w:sz w:val="24"/>
          <w:szCs w:val="24"/>
        </w:rPr>
      </w:pPr>
      <w:r w:rsidRPr="00460D4E">
        <w:rPr>
          <w:rFonts w:ascii="Arial" w:hAnsi="Arial" w:cs="Arial"/>
          <w:sz w:val="24"/>
          <w:szCs w:val="24"/>
        </w:rPr>
        <w:t>The Group will aim to withdraw any</w:t>
      </w:r>
      <w:r w:rsidR="00AA1AE2" w:rsidRPr="00460D4E">
        <w:rPr>
          <w:rFonts w:ascii="Arial" w:hAnsi="Arial" w:cs="Arial"/>
          <w:sz w:val="24"/>
          <w:szCs w:val="24"/>
        </w:rPr>
        <w:t xml:space="preserve"> existing</w:t>
      </w:r>
      <w:r w:rsidRPr="00460D4E">
        <w:rPr>
          <w:rFonts w:ascii="Arial" w:hAnsi="Arial" w:cs="Arial"/>
          <w:sz w:val="24"/>
          <w:szCs w:val="24"/>
        </w:rPr>
        <w:t xml:space="preserve"> investments that are found to breach ethical policy.</w:t>
      </w:r>
    </w:p>
    <w:p w14:paraId="4F806CE3" w14:textId="77777777" w:rsidR="00460D4E" w:rsidRPr="00460D4E" w:rsidRDefault="00460D4E" w:rsidP="00460D4E">
      <w:pPr>
        <w:spacing w:after="0" w:line="276" w:lineRule="auto"/>
        <w:rPr>
          <w:rFonts w:ascii="Arial" w:hAnsi="Arial" w:cs="Arial"/>
          <w:sz w:val="24"/>
          <w:szCs w:val="24"/>
        </w:rPr>
      </w:pPr>
    </w:p>
    <w:p w14:paraId="5723F6F0" w14:textId="77777777" w:rsidR="00AF3D6C" w:rsidRPr="00460D4E" w:rsidRDefault="0057172B" w:rsidP="00460D4E">
      <w:pPr>
        <w:pStyle w:val="Heading2"/>
      </w:pPr>
      <w:r w:rsidRPr="00460D4E">
        <w:t>4</w:t>
      </w:r>
      <w:r w:rsidRPr="00460D4E">
        <w:tab/>
      </w:r>
      <w:r w:rsidR="00AF3D6C" w:rsidRPr="00460D4E">
        <w:t>Investment reports</w:t>
      </w:r>
    </w:p>
    <w:p w14:paraId="19C532ED" w14:textId="77777777" w:rsidR="0057172B" w:rsidRPr="00460D4E" w:rsidRDefault="0057172B" w:rsidP="00460D4E">
      <w:pPr>
        <w:spacing w:after="0" w:line="276" w:lineRule="auto"/>
        <w:rPr>
          <w:rFonts w:ascii="Arial" w:hAnsi="Arial" w:cs="Arial"/>
          <w:b/>
          <w:sz w:val="24"/>
          <w:szCs w:val="24"/>
        </w:rPr>
      </w:pPr>
    </w:p>
    <w:p w14:paraId="3D3F6A7E" w14:textId="77777777" w:rsidR="00AF3D6C" w:rsidRPr="00460D4E" w:rsidRDefault="00AF3D6C" w:rsidP="00460D4E">
      <w:pPr>
        <w:spacing w:after="0" w:line="276" w:lineRule="auto"/>
        <w:rPr>
          <w:rFonts w:ascii="Arial" w:hAnsi="Arial" w:cs="Arial"/>
          <w:sz w:val="24"/>
          <w:szCs w:val="24"/>
        </w:rPr>
      </w:pPr>
      <w:r w:rsidRPr="00460D4E">
        <w:rPr>
          <w:rFonts w:ascii="Arial" w:hAnsi="Arial" w:cs="Arial"/>
          <w:sz w:val="24"/>
          <w:szCs w:val="24"/>
        </w:rPr>
        <w:t xml:space="preserve">The </w:t>
      </w:r>
      <w:r w:rsidR="00C23012" w:rsidRPr="00460D4E">
        <w:rPr>
          <w:rFonts w:ascii="Arial" w:hAnsi="Arial" w:cs="Arial"/>
          <w:sz w:val="24"/>
          <w:szCs w:val="24"/>
        </w:rPr>
        <w:t xml:space="preserve">Executive </w:t>
      </w:r>
      <w:r w:rsidRPr="00460D4E">
        <w:rPr>
          <w:rFonts w:ascii="Arial" w:hAnsi="Arial" w:cs="Arial"/>
          <w:sz w:val="24"/>
          <w:szCs w:val="24"/>
        </w:rPr>
        <w:t xml:space="preserve">Director of Finance will regularly present Treasury Management reports </w:t>
      </w:r>
      <w:r w:rsidR="00C027DA" w:rsidRPr="00460D4E">
        <w:rPr>
          <w:rFonts w:ascii="Arial" w:hAnsi="Arial" w:cs="Arial"/>
          <w:sz w:val="24"/>
          <w:szCs w:val="24"/>
        </w:rPr>
        <w:t xml:space="preserve">to the Strategy </w:t>
      </w:r>
      <w:r w:rsidR="006412DC" w:rsidRPr="00460D4E">
        <w:rPr>
          <w:rFonts w:ascii="Arial" w:hAnsi="Arial" w:cs="Arial"/>
          <w:sz w:val="24"/>
          <w:szCs w:val="24"/>
        </w:rPr>
        <w:t>and</w:t>
      </w:r>
      <w:r w:rsidR="00C027DA" w:rsidRPr="00460D4E">
        <w:rPr>
          <w:rFonts w:ascii="Arial" w:hAnsi="Arial" w:cs="Arial"/>
          <w:sz w:val="24"/>
          <w:szCs w:val="24"/>
        </w:rPr>
        <w:t xml:space="preserve"> Finance C</w:t>
      </w:r>
      <w:r w:rsidRPr="00460D4E">
        <w:rPr>
          <w:rFonts w:ascii="Arial" w:hAnsi="Arial" w:cs="Arial"/>
          <w:sz w:val="24"/>
          <w:szCs w:val="24"/>
        </w:rPr>
        <w:t xml:space="preserve">ommittee for review and </w:t>
      </w:r>
      <w:r w:rsidR="00AA1AE2" w:rsidRPr="00460D4E">
        <w:rPr>
          <w:rFonts w:ascii="Arial" w:hAnsi="Arial" w:cs="Arial"/>
          <w:sz w:val="24"/>
          <w:szCs w:val="24"/>
        </w:rPr>
        <w:t>consideration;</w:t>
      </w:r>
      <w:r w:rsidRPr="00460D4E">
        <w:rPr>
          <w:rFonts w:ascii="Arial" w:hAnsi="Arial" w:cs="Arial"/>
          <w:sz w:val="24"/>
          <w:szCs w:val="24"/>
        </w:rPr>
        <w:t xml:space="preserve"> these reports include details on ethical investment issues. </w:t>
      </w:r>
      <w:r w:rsidR="00C027DA" w:rsidRPr="00460D4E">
        <w:rPr>
          <w:rFonts w:ascii="Arial" w:hAnsi="Arial" w:cs="Arial"/>
          <w:sz w:val="24"/>
          <w:szCs w:val="24"/>
        </w:rPr>
        <w:t>The Strategy and Finance C</w:t>
      </w:r>
      <w:r w:rsidRPr="00460D4E">
        <w:rPr>
          <w:rFonts w:ascii="Arial" w:hAnsi="Arial" w:cs="Arial"/>
          <w:sz w:val="24"/>
          <w:szCs w:val="24"/>
        </w:rPr>
        <w:t>ommittee will consult with and consider recommendations provided by the Vice-Chancellor’s Board (at which there is student representation).</w:t>
      </w:r>
    </w:p>
    <w:p w14:paraId="44E526AF" w14:textId="77777777" w:rsidR="00AF3D6C" w:rsidRPr="00460D4E" w:rsidRDefault="00AF3D6C" w:rsidP="00460D4E">
      <w:pPr>
        <w:spacing w:after="0" w:line="276" w:lineRule="auto"/>
        <w:rPr>
          <w:rFonts w:ascii="Arial" w:hAnsi="Arial" w:cs="Arial"/>
          <w:sz w:val="24"/>
          <w:szCs w:val="24"/>
        </w:rPr>
      </w:pPr>
    </w:p>
    <w:p w14:paraId="65474399" w14:textId="360EBB27" w:rsidR="00AF3D6C" w:rsidRDefault="00AF3D6C" w:rsidP="00460D4E">
      <w:pPr>
        <w:spacing w:after="0" w:line="276" w:lineRule="auto"/>
        <w:rPr>
          <w:rFonts w:ascii="Arial" w:hAnsi="Arial" w:cs="Arial"/>
          <w:sz w:val="24"/>
          <w:szCs w:val="24"/>
        </w:rPr>
      </w:pPr>
      <w:r w:rsidRPr="00460D4E">
        <w:rPr>
          <w:rFonts w:ascii="Arial" w:hAnsi="Arial" w:cs="Arial"/>
          <w:sz w:val="24"/>
          <w:szCs w:val="24"/>
        </w:rPr>
        <w:t>For any investments made, the nature of the sectors in which the Group invests in will be included</w:t>
      </w:r>
      <w:r w:rsidR="00EA0BAE" w:rsidRPr="00460D4E">
        <w:rPr>
          <w:rFonts w:ascii="Arial" w:hAnsi="Arial" w:cs="Arial"/>
          <w:sz w:val="24"/>
          <w:szCs w:val="24"/>
        </w:rPr>
        <w:t xml:space="preserve"> within an Investment section of</w:t>
      </w:r>
      <w:r w:rsidRPr="00460D4E">
        <w:rPr>
          <w:rFonts w:ascii="Arial" w:hAnsi="Arial" w:cs="Arial"/>
          <w:sz w:val="24"/>
          <w:szCs w:val="24"/>
        </w:rPr>
        <w:t xml:space="preserve"> the annual financial statements. The Group’</w:t>
      </w:r>
      <w:r w:rsidR="008B1448" w:rsidRPr="00460D4E">
        <w:rPr>
          <w:rFonts w:ascii="Arial" w:hAnsi="Arial" w:cs="Arial"/>
          <w:sz w:val="24"/>
          <w:szCs w:val="24"/>
        </w:rPr>
        <w:t>s financial statements are</w:t>
      </w:r>
      <w:r w:rsidR="00EA0BAE" w:rsidRPr="00460D4E">
        <w:rPr>
          <w:rFonts w:ascii="Arial" w:hAnsi="Arial" w:cs="Arial"/>
          <w:sz w:val="24"/>
          <w:szCs w:val="24"/>
        </w:rPr>
        <w:t xml:space="preserve"> made</w:t>
      </w:r>
      <w:r w:rsidR="008B1448" w:rsidRPr="00460D4E">
        <w:rPr>
          <w:rFonts w:ascii="Arial" w:hAnsi="Arial" w:cs="Arial"/>
          <w:sz w:val="24"/>
          <w:szCs w:val="24"/>
        </w:rPr>
        <w:t xml:space="preserve"> </w:t>
      </w:r>
      <w:proofErr w:type="spellStart"/>
      <w:r w:rsidRPr="00460D4E">
        <w:rPr>
          <w:rFonts w:ascii="Arial" w:hAnsi="Arial" w:cs="Arial"/>
          <w:sz w:val="24"/>
          <w:szCs w:val="24"/>
        </w:rPr>
        <w:t>publically</w:t>
      </w:r>
      <w:proofErr w:type="spellEnd"/>
      <w:r w:rsidRPr="00460D4E">
        <w:rPr>
          <w:rFonts w:ascii="Arial" w:hAnsi="Arial" w:cs="Arial"/>
          <w:sz w:val="24"/>
          <w:szCs w:val="24"/>
        </w:rPr>
        <w:t xml:space="preserve"> available on the internet.</w:t>
      </w:r>
    </w:p>
    <w:p w14:paraId="68940371" w14:textId="77777777" w:rsidR="00460D4E" w:rsidRPr="00460D4E" w:rsidRDefault="00460D4E" w:rsidP="00460D4E">
      <w:pPr>
        <w:spacing w:after="0" w:line="276" w:lineRule="auto"/>
        <w:rPr>
          <w:rFonts w:ascii="Arial" w:hAnsi="Arial" w:cs="Arial"/>
          <w:sz w:val="24"/>
          <w:szCs w:val="24"/>
        </w:rPr>
      </w:pPr>
    </w:p>
    <w:p w14:paraId="79F9399E" w14:textId="77777777" w:rsidR="00AF3D6C" w:rsidRPr="00460D4E" w:rsidRDefault="0057172B" w:rsidP="00460D4E">
      <w:pPr>
        <w:pStyle w:val="Heading2"/>
      </w:pPr>
      <w:r w:rsidRPr="00460D4E">
        <w:t>5</w:t>
      </w:r>
      <w:r w:rsidRPr="00460D4E">
        <w:tab/>
      </w:r>
      <w:r w:rsidR="00AF3D6C" w:rsidRPr="00460D4E">
        <w:t>Policy Review</w:t>
      </w:r>
    </w:p>
    <w:p w14:paraId="692457F5" w14:textId="77777777" w:rsidR="00AF3D6C" w:rsidRPr="00460D4E" w:rsidRDefault="00AF3D6C" w:rsidP="00460D4E">
      <w:pPr>
        <w:spacing w:after="0" w:line="276" w:lineRule="auto"/>
        <w:rPr>
          <w:rFonts w:ascii="Arial" w:hAnsi="Arial" w:cs="Arial"/>
          <w:sz w:val="24"/>
          <w:szCs w:val="24"/>
        </w:rPr>
      </w:pPr>
    </w:p>
    <w:p w14:paraId="324F520F" w14:textId="77777777" w:rsidR="00DA15CB" w:rsidRPr="00460D4E" w:rsidRDefault="00DA15CB" w:rsidP="00460D4E">
      <w:pPr>
        <w:spacing w:after="0" w:line="276" w:lineRule="auto"/>
        <w:rPr>
          <w:rFonts w:ascii="Arial" w:hAnsi="Arial" w:cs="Arial"/>
          <w:sz w:val="24"/>
          <w:szCs w:val="24"/>
        </w:rPr>
      </w:pPr>
      <w:r w:rsidRPr="00460D4E">
        <w:rPr>
          <w:rFonts w:ascii="Arial" w:hAnsi="Arial" w:cs="Arial"/>
          <w:sz w:val="24"/>
          <w:szCs w:val="24"/>
        </w:rPr>
        <w:t>This policy will be</w:t>
      </w:r>
      <w:r w:rsidR="006F6D5C" w:rsidRPr="00460D4E">
        <w:rPr>
          <w:rFonts w:ascii="Arial" w:hAnsi="Arial" w:cs="Arial"/>
          <w:sz w:val="24"/>
          <w:szCs w:val="24"/>
        </w:rPr>
        <w:t xml:space="preserve"> monitored, </w:t>
      </w:r>
      <w:proofErr w:type="gramStart"/>
      <w:r w:rsidR="006F6D5C" w:rsidRPr="00460D4E">
        <w:rPr>
          <w:rFonts w:ascii="Arial" w:hAnsi="Arial" w:cs="Arial"/>
          <w:sz w:val="24"/>
          <w:szCs w:val="24"/>
        </w:rPr>
        <w:t>reviewed</w:t>
      </w:r>
      <w:proofErr w:type="gramEnd"/>
      <w:r w:rsidR="006F6D5C" w:rsidRPr="00460D4E">
        <w:rPr>
          <w:rFonts w:ascii="Arial" w:hAnsi="Arial" w:cs="Arial"/>
          <w:sz w:val="24"/>
          <w:szCs w:val="24"/>
        </w:rPr>
        <w:t xml:space="preserve"> and approved on an annual basis </w:t>
      </w:r>
      <w:r w:rsidRPr="00460D4E">
        <w:rPr>
          <w:rFonts w:ascii="Arial" w:hAnsi="Arial" w:cs="Arial"/>
          <w:sz w:val="24"/>
          <w:szCs w:val="24"/>
        </w:rPr>
        <w:t xml:space="preserve">by the Strategy </w:t>
      </w:r>
      <w:r w:rsidR="006412DC" w:rsidRPr="00460D4E">
        <w:rPr>
          <w:rFonts w:ascii="Arial" w:hAnsi="Arial" w:cs="Arial"/>
          <w:sz w:val="24"/>
          <w:szCs w:val="24"/>
        </w:rPr>
        <w:t>and</w:t>
      </w:r>
      <w:r w:rsidRPr="00460D4E">
        <w:rPr>
          <w:rFonts w:ascii="Arial" w:hAnsi="Arial" w:cs="Arial"/>
          <w:sz w:val="24"/>
          <w:szCs w:val="24"/>
        </w:rPr>
        <w:t xml:space="preserve"> Finance </w:t>
      </w:r>
      <w:r w:rsidR="006F6D5C" w:rsidRPr="00460D4E">
        <w:rPr>
          <w:rFonts w:ascii="Arial" w:hAnsi="Arial" w:cs="Arial"/>
          <w:sz w:val="24"/>
          <w:szCs w:val="24"/>
        </w:rPr>
        <w:t>C</w:t>
      </w:r>
      <w:r w:rsidRPr="00460D4E">
        <w:rPr>
          <w:rFonts w:ascii="Arial" w:hAnsi="Arial" w:cs="Arial"/>
          <w:sz w:val="24"/>
          <w:szCs w:val="24"/>
        </w:rPr>
        <w:t>ommittee</w:t>
      </w:r>
      <w:r w:rsidR="006F6D5C" w:rsidRPr="00460D4E">
        <w:rPr>
          <w:rFonts w:ascii="Arial" w:hAnsi="Arial" w:cs="Arial"/>
          <w:sz w:val="24"/>
          <w:szCs w:val="24"/>
        </w:rPr>
        <w:t>.</w:t>
      </w:r>
    </w:p>
    <w:p w14:paraId="280BCD30" w14:textId="77777777" w:rsidR="00DA15CB" w:rsidRPr="00460D4E" w:rsidRDefault="00DA15CB" w:rsidP="00460D4E">
      <w:pPr>
        <w:spacing w:after="0" w:line="276" w:lineRule="auto"/>
        <w:rPr>
          <w:rFonts w:ascii="Arial" w:hAnsi="Arial" w:cs="Arial"/>
          <w:sz w:val="24"/>
          <w:szCs w:val="24"/>
        </w:rPr>
      </w:pPr>
    </w:p>
    <w:p w14:paraId="67CB65B4" w14:textId="77777777" w:rsidR="00AF3D6C" w:rsidRPr="00460D4E" w:rsidRDefault="00AF3D6C" w:rsidP="00460D4E">
      <w:pPr>
        <w:spacing w:after="0" w:line="276" w:lineRule="auto"/>
        <w:rPr>
          <w:rFonts w:ascii="Arial" w:hAnsi="Arial" w:cs="Arial"/>
          <w:color w:val="FF0000"/>
          <w:sz w:val="24"/>
          <w:szCs w:val="24"/>
        </w:rPr>
      </w:pPr>
      <w:r w:rsidRPr="00460D4E">
        <w:rPr>
          <w:rFonts w:ascii="Arial" w:hAnsi="Arial" w:cs="Arial"/>
          <w:sz w:val="24"/>
          <w:szCs w:val="24"/>
        </w:rPr>
        <w:t xml:space="preserve">Progress reports submitted to the Strategy </w:t>
      </w:r>
      <w:r w:rsidR="006412DC" w:rsidRPr="00460D4E">
        <w:rPr>
          <w:rFonts w:ascii="Arial" w:hAnsi="Arial" w:cs="Arial"/>
          <w:sz w:val="24"/>
          <w:szCs w:val="24"/>
        </w:rPr>
        <w:t>and</w:t>
      </w:r>
      <w:r w:rsidRPr="00460D4E">
        <w:rPr>
          <w:rFonts w:ascii="Arial" w:hAnsi="Arial" w:cs="Arial"/>
          <w:sz w:val="24"/>
          <w:szCs w:val="24"/>
        </w:rPr>
        <w:t xml:space="preserve"> Finance</w:t>
      </w:r>
      <w:r w:rsidR="00C027DA" w:rsidRPr="00460D4E">
        <w:rPr>
          <w:rFonts w:ascii="Arial" w:hAnsi="Arial" w:cs="Arial"/>
          <w:sz w:val="24"/>
          <w:szCs w:val="24"/>
        </w:rPr>
        <w:t xml:space="preserve"> C</w:t>
      </w:r>
      <w:r w:rsidRPr="00460D4E">
        <w:rPr>
          <w:rFonts w:ascii="Arial" w:hAnsi="Arial" w:cs="Arial"/>
          <w:sz w:val="24"/>
          <w:szCs w:val="24"/>
        </w:rPr>
        <w:t>ommittee will include a</w:t>
      </w:r>
      <w:r w:rsidR="00B13BB9" w:rsidRPr="00460D4E">
        <w:rPr>
          <w:rFonts w:ascii="Arial" w:hAnsi="Arial" w:cs="Arial"/>
          <w:sz w:val="24"/>
          <w:szCs w:val="24"/>
        </w:rPr>
        <w:t>n ethical i</w:t>
      </w:r>
      <w:r w:rsidR="008777F1" w:rsidRPr="00460D4E">
        <w:rPr>
          <w:rFonts w:ascii="Arial" w:hAnsi="Arial" w:cs="Arial"/>
          <w:sz w:val="24"/>
          <w:szCs w:val="24"/>
        </w:rPr>
        <w:t>nvestment section detailing</w:t>
      </w:r>
      <w:r w:rsidRPr="00460D4E">
        <w:rPr>
          <w:rFonts w:ascii="Arial" w:hAnsi="Arial" w:cs="Arial"/>
          <w:sz w:val="24"/>
          <w:szCs w:val="24"/>
        </w:rPr>
        <w:t xml:space="preserve"> p</w:t>
      </w:r>
      <w:r w:rsidR="00BF6F24" w:rsidRPr="00460D4E">
        <w:rPr>
          <w:rFonts w:ascii="Arial" w:hAnsi="Arial" w:cs="Arial"/>
          <w:sz w:val="24"/>
          <w:szCs w:val="24"/>
        </w:rPr>
        <w:t>rogress made in respect of the p</w:t>
      </w:r>
      <w:r w:rsidRPr="00460D4E">
        <w:rPr>
          <w:rFonts w:ascii="Arial" w:hAnsi="Arial" w:cs="Arial"/>
          <w:sz w:val="24"/>
          <w:szCs w:val="24"/>
        </w:rPr>
        <w:t xml:space="preserve">olicy’s aims. To aid stakeholder feedback, where appropriate, the Group’s progress in this matter will be raised at University </w:t>
      </w:r>
      <w:r w:rsidR="00C23012" w:rsidRPr="00460D4E">
        <w:rPr>
          <w:rFonts w:ascii="Arial" w:hAnsi="Arial" w:cs="Arial"/>
          <w:sz w:val="24"/>
          <w:szCs w:val="24"/>
        </w:rPr>
        <w:t>Board meetings</w:t>
      </w:r>
      <w:r w:rsidRPr="00460D4E">
        <w:rPr>
          <w:rFonts w:ascii="Arial" w:hAnsi="Arial" w:cs="Arial"/>
          <w:sz w:val="24"/>
          <w:szCs w:val="24"/>
        </w:rPr>
        <w:t xml:space="preserve"> and Annual Open Meetings.</w:t>
      </w:r>
    </w:p>
    <w:p w14:paraId="01099E3C" w14:textId="77777777" w:rsidR="00AF3D6C" w:rsidRPr="00460D4E" w:rsidRDefault="00AF3D6C" w:rsidP="00460D4E">
      <w:pPr>
        <w:spacing w:after="0" w:line="276" w:lineRule="auto"/>
        <w:rPr>
          <w:rFonts w:ascii="Arial" w:hAnsi="Arial" w:cs="Arial"/>
          <w:sz w:val="24"/>
          <w:szCs w:val="24"/>
        </w:rPr>
      </w:pPr>
    </w:p>
    <w:p w14:paraId="6908103A" w14:textId="77777777" w:rsidR="00AF3D6C" w:rsidRPr="00460D4E" w:rsidRDefault="00AF3D6C" w:rsidP="00460D4E">
      <w:pPr>
        <w:spacing w:after="0" w:line="276" w:lineRule="auto"/>
        <w:rPr>
          <w:rFonts w:ascii="Arial" w:hAnsi="Arial" w:cs="Arial"/>
          <w:sz w:val="24"/>
          <w:szCs w:val="24"/>
        </w:rPr>
      </w:pPr>
      <w:r w:rsidRPr="00460D4E">
        <w:rPr>
          <w:rFonts w:ascii="Arial" w:hAnsi="Arial" w:cs="Arial"/>
          <w:sz w:val="24"/>
          <w:szCs w:val="24"/>
        </w:rPr>
        <w:t xml:space="preserve">The Group’s Ethical Investment Policy is available for members of the public to view under the Sustainability, Freedom of Information and Governance sections of the University’s website. Students, </w:t>
      </w:r>
      <w:proofErr w:type="gramStart"/>
      <w:r w:rsidRPr="00460D4E">
        <w:rPr>
          <w:rFonts w:ascii="Arial" w:hAnsi="Arial" w:cs="Arial"/>
          <w:sz w:val="24"/>
          <w:szCs w:val="24"/>
        </w:rPr>
        <w:t>staff</w:t>
      </w:r>
      <w:proofErr w:type="gramEnd"/>
      <w:r w:rsidRPr="00460D4E">
        <w:rPr>
          <w:rFonts w:ascii="Arial" w:hAnsi="Arial" w:cs="Arial"/>
          <w:sz w:val="24"/>
          <w:szCs w:val="24"/>
        </w:rPr>
        <w:t xml:space="preserve"> and other stakeholders are encouraged to provide feedback on this policy. </w:t>
      </w:r>
    </w:p>
    <w:p w14:paraId="75637642" w14:textId="77777777" w:rsidR="00AF3D6C" w:rsidRPr="00460D4E" w:rsidRDefault="00AF3D6C" w:rsidP="00460D4E">
      <w:pPr>
        <w:spacing w:after="0" w:line="276" w:lineRule="auto"/>
        <w:rPr>
          <w:rFonts w:ascii="Arial" w:hAnsi="Arial" w:cs="Arial"/>
          <w:sz w:val="24"/>
          <w:szCs w:val="24"/>
        </w:rPr>
      </w:pPr>
    </w:p>
    <w:p w14:paraId="61B201D7" w14:textId="1128A308" w:rsidR="00CB6858" w:rsidRPr="00397F09" w:rsidRDefault="00AF3D6C" w:rsidP="00460D4E">
      <w:pPr>
        <w:spacing w:after="0" w:line="276" w:lineRule="auto"/>
        <w:rPr>
          <w:rFonts w:ascii="Arial" w:hAnsi="Arial" w:cs="Arial"/>
        </w:rPr>
      </w:pPr>
      <w:r w:rsidRPr="00460D4E">
        <w:rPr>
          <w:rFonts w:ascii="Arial" w:hAnsi="Arial" w:cs="Arial"/>
          <w:sz w:val="24"/>
          <w:szCs w:val="24"/>
        </w:rPr>
        <w:t>To ensure effective engagement with this policy, t</w:t>
      </w:r>
      <w:r w:rsidR="00C027DA" w:rsidRPr="00460D4E">
        <w:rPr>
          <w:rFonts w:ascii="Arial" w:hAnsi="Arial" w:cs="Arial"/>
          <w:sz w:val="24"/>
          <w:szCs w:val="24"/>
        </w:rPr>
        <w:t xml:space="preserve">he Strategy </w:t>
      </w:r>
      <w:r w:rsidR="006412DC" w:rsidRPr="00460D4E">
        <w:rPr>
          <w:rFonts w:ascii="Arial" w:hAnsi="Arial" w:cs="Arial"/>
          <w:sz w:val="24"/>
          <w:szCs w:val="24"/>
        </w:rPr>
        <w:t>and</w:t>
      </w:r>
      <w:r w:rsidR="00C027DA" w:rsidRPr="00460D4E">
        <w:rPr>
          <w:rFonts w:ascii="Arial" w:hAnsi="Arial" w:cs="Arial"/>
          <w:sz w:val="24"/>
          <w:szCs w:val="24"/>
        </w:rPr>
        <w:t xml:space="preserve"> Finance C</w:t>
      </w:r>
      <w:r w:rsidRPr="00460D4E">
        <w:rPr>
          <w:rFonts w:ascii="Arial" w:hAnsi="Arial" w:cs="Arial"/>
          <w:sz w:val="24"/>
          <w:szCs w:val="24"/>
        </w:rPr>
        <w:t>ommittee will review all feedback received.</w:t>
      </w:r>
    </w:p>
    <w:sectPr w:rsidR="00CB6858" w:rsidRPr="00397F09" w:rsidSect="00C23012">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0BD"/>
    <w:multiLevelType w:val="hybridMultilevel"/>
    <w:tmpl w:val="65B0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74C97"/>
    <w:multiLevelType w:val="hybridMultilevel"/>
    <w:tmpl w:val="3F367CDE"/>
    <w:lvl w:ilvl="0" w:tplc="FDF8965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F6341B"/>
    <w:multiLevelType w:val="hybridMultilevel"/>
    <w:tmpl w:val="5A92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A3E63"/>
    <w:multiLevelType w:val="hybridMultilevel"/>
    <w:tmpl w:val="2580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30B6E"/>
    <w:multiLevelType w:val="hybridMultilevel"/>
    <w:tmpl w:val="737E1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35EE6"/>
    <w:multiLevelType w:val="hybridMultilevel"/>
    <w:tmpl w:val="B554D37C"/>
    <w:lvl w:ilvl="0" w:tplc="0809000F">
      <w:start w:val="1"/>
      <w:numFmt w:val="decimal"/>
      <w:lvlText w:val="%1."/>
      <w:lvlJc w:val="left"/>
      <w:pPr>
        <w:ind w:left="720" w:hanging="360"/>
      </w:pPr>
    </w:lvl>
    <w:lvl w:ilvl="1" w:tplc="D2E66998">
      <w:start w:val="9"/>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61D99"/>
    <w:multiLevelType w:val="hybridMultilevel"/>
    <w:tmpl w:val="6C509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4034D1"/>
    <w:multiLevelType w:val="hybridMultilevel"/>
    <w:tmpl w:val="6392525A"/>
    <w:lvl w:ilvl="0" w:tplc="6CB27C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292858"/>
    <w:multiLevelType w:val="hybridMultilevel"/>
    <w:tmpl w:val="D06A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A4ED8"/>
    <w:multiLevelType w:val="hybridMultilevel"/>
    <w:tmpl w:val="DD08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B4FF1"/>
    <w:multiLevelType w:val="hybridMultilevel"/>
    <w:tmpl w:val="3A509DA6"/>
    <w:lvl w:ilvl="0" w:tplc="04090017">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7D724311"/>
    <w:multiLevelType w:val="hybridMultilevel"/>
    <w:tmpl w:val="4DF2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465890">
    <w:abstractNumId w:val="1"/>
  </w:num>
  <w:num w:numId="2" w16cid:durableId="68501654">
    <w:abstractNumId w:val="7"/>
  </w:num>
  <w:num w:numId="3" w16cid:durableId="2000385530">
    <w:abstractNumId w:val="10"/>
  </w:num>
  <w:num w:numId="4" w16cid:durableId="2072188978">
    <w:abstractNumId w:val="4"/>
  </w:num>
  <w:num w:numId="5" w16cid:durableId="1387224351">
    <w:abstractNumId w:val="6"/>
  </w:num>
  <w:num w:numId="6" w16cid:durableId="114182490">
    <w:abstractNumId w:val="11"/>
  </w:num>
  <w:num w:numId="7" w16cid:durableId="995112278">
    <w:abstractNumId w:val="9"/>
  </w:num>
  <w:num w:numId="8" w16cid:durableId="1141196493">
    <w:abstractNumId w:val="3"/>
  </w:num>
  <w:num w:numId="9" w16cid:durableId="938757973">
    <w:abstractNumId w:val="0"/>
  </w:num>
  <w:num w:numId="10" w16cid:durableId="356468981">
    <w:abstractNumId w:val="2"/>
  </w:num>
  <w:num w:numId="11" w16cid:durableId="2036422982">
    <w:abstractNumId w:val="5"/>
  </w:num>
  <w:num w:numId="12" w16cid:durableId="1794128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09"/>
    <w:rsid w:val="000009CB"/>
    <w:rsid w:val="00001F2F"/>
    <w:rsid w:val="00026C1D"/>
    <w:rsid w:val="00044796"/>
    <w:rsid w:val="0006195E"/>
    <w:rsid w:val="00084CB6"/>
    <w:rsid w:val="000D5762"/>
    <w:rsid w:val="000F1E0B"/>
    <w:rsid w:val="001314B3"/>
    <w:rsid w:val="00144DE0"/>
    <w:rsid w:val="00156F2B"/>
    <w:rsid w:val="00187F84"/>
    <w:rsid w:val="0019456E"/>
    <w:rsid w:val="001D716F"/>
    <w:rsid w:val="001E0D54"/>
    <w:rsid w:val="002333C9"/>
    <w:rsid w:val="002A610C"/>
    <w:rsid w:val="002C5DAF"/>
    <w:rsid w:val="002C672F"/>
    <w:rsid w:val="002E4611"/>
    <w:rsid w:val="00300C4F"/>
    <w:rsid w:val="00310CB0"/>
    <w:rsid w:val="00326BB5"/>
    <w:rsid w:val="00347C1E"/>
    <w:rsid w:val="00357F74"/>
    <w:rsid w:val="00370068"/>
    <w:rsid w:val="00382CFE"/>
    <w:rsid w:val="0039100A"/>
    <w:rsid w:val="00397F09"/>
    <w:rsid w:val="003A3E3C"/>
    <w:rsid w:val="003D028A"/>
    <w:rsid w:val="003D0CE3"/>
    <w:rsid w:val="00402170"/>
    <w:rsid w:val="0041308A"/>
    <w:rsid w:val="0041467F"/>
    <w:rsid w:val="0041593D"/>
    <w:rsid w:val="00460D4E"/>
    <w:rsid w:val="00461FCF"/>
    <w:rsid w:val="004868D8"/>
    <w:rsid w:val="004A614B"/>
    <w:rsid w:val="004B634A"/>
    <w:rsid w:val="004F5ED9"/>
    <w:rsid w:val="004F61E0"/>
    <w:rsid w:val="00502F0A"/>
    <w:rsid w:val="00553166"/>
    <w:rsid w:val="005557EC"/>
    <w:rsid w:val="00557B16"/>
    <w:rsid w:val="0057172B"/>
    <w:rsid w:val="005A05E0"/>
    <w:rsid w:val="005A623F"/>
    <w:rsid w:val="005B1743"/>
    <w:rsid w:val="005D0A6B"/>
    <w:rsid w:val="005E3789"/>
    <w:rsid w:val="005F67C7"/>
    <w:rsid w:val="006106DC"/>
    <w:rsid w:val="006115D5"/>
    <w:rsid w:val="006412DC"/>
    <w:rsid w:val="006559F2"/>
    <w:rsid w:val="00655CCB"/>
    <w:rsid w:val="00672454"/>
    <w:rsid w:val="006802F6"/>
    <w:rsid w:val="006851F0"/>
    <w:rsid w:val="006B1899"/>
    <w:rsid w:val="006F6D5C"/>
    <w:rsid w:val="007261DD"/>
    <w:rsid w:val="00754CFA"/>
    <w:rsid w:val="0076078A"/>
    <w:rsid w:val="00794A9B"/>
    <w:rsid w:val="007B02D2"/>
    <w:rsid w:val="007B1F0A"/>
    <w:rsid w:val="007B5674"/>
    <w:rsid w:val="007C5A74"/>
    <w:rsid w:val="007F3832"/>
    <w:rsid w:val="007F4A05"/>
    <w:rsid w:val="008777F1"/>
    <w:rsid w:val="008A04A4"/>
    <w:rsid w:val="008B1448"/>
    <w:rsid w:val="008D23EF"/>
    <w:rsid w:val="008F0E42"/>
    <w:rsid w:val="00904BC7"/>
    <w:rsid w:val="00951D30"/>
    <w:rsid w:val="00952434"/>
    <w:rsid w:val="009C05EB"/>
    <w:rsid w:val="009D2EF3"/>
    <w:rsid w:val="00A37587"/>
    <w:rsid w:val="00A511A8"/>
    <w:rsid w:val="00A6255B"/>
    <w:rsid w:val="00AA1AE2"/>
    <w:rsid w:val="00AB5796"/>
    <w:rsid w:val="00AB5D77"/>
    <w:rsid w:val="00AB6CB3"/>
    <w:rsid w:val="00AE0FB3"/>
    <w:rsid w:val="00AF37D0"/>
    <w:rsid w:val="00AF3D6C"/>
    <w:rsid w:val="00B13BB9"/>
    <w:rsid w:val="00B22C9A"/>
    <w:rsid w:val="00B4034E"/>
    <w:rsid w:val="00B70CB4"/>
    <w:rsid w:val="00B87F9E"/>
    <w:rsid w:val="00B91D74"/>
    <w:rsid w:val="00BB1C3A"/>
    <w:rsid w:val="00BE5EC7"/>
    <w:rsid w:val="00BF4056"/>
    <w:rsid w:val="00BF6F24"/>
    <w:rsid w:val="00C027DA"/>
    <w:rsid w:val="00C2211B"/>
    <w:rsid w:val="00C23012"/>
    <w:rsid w:val="00CA2E01"/>
    <w:rsid w:val="00CA6887"/>
    <w:rsid w:val="00CB6858"/>
    <w:rsid w:val="00CB6CB8"/>
    <w:rsid w:val="00D13621"/>
    <w:rsid w:val="00D200AC"/>
    <w:rsid w:val="00D33728"/>
    <w:rsid w:val="00D347EB"/>
    <w:rsid w:val="00D6558A"/>
    <w:rsid w:val="00D96D4D"/>
    <w:rsid w:val="00DA15CB"/>
    <w:rsid w:val="00DB4CD0"/>
    <w:rsid w:val="00DB7BF4"/>
    <w:rsid w:val="00DD17FB"/>
    <w:rsid w:val="00DD2C95"/>
    <w:rsid w:val="00DD704B"/>
    <w:rsid w:val="00DE2616"/>
    <w:rsid w:val="00DF64E3"/>
    <w:rsid w:val="00DF678F"/>
    <w:rsid w:val="00DF7135"/>
    <w:rsid w:val="00E15335"/>
    <w:rsid w:val="00E2356C"/>
    <w:rsid w:val="00E24424"/>
    <w:rsid w:val="00E45D24"/>
    <w:rsid w:val="00E95930"/>
    <w:rsid w:val="00EA0BAE"/>
    <w:rsid w:val="00EB48A3"/>
    <w:rsid w:val="00EE6467"/>
    <w:rsid w:val="00F00DAF"/>
    <w:rsid w:val="00F065B5"/>
    <w:rsid w:val="00F11D52"/>
    <w:rsid w:val="00F11FE2"/>
    <w:rsid w:val="00F2110F"/>
    <w:rsid w:val="00F21AF1"/>
    <w:rsid w:val="00F57945"/>
    <w:rsid w:val="00F758FC"/>
    <w:rsid w:val="00F77797"/>
    <w:rsid w:val="00F91267"/>
    <w:rsid w:val="00FB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6AA9"/>
  <w15:chartTrackingRefBased/>
  <w15:docId w15:val="{1E172B93-202D-41DC-B7B6-3461757F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616"/>
  </w:style>
  <w:style w:type="paragraph" w:styleId="Heading1">
    <w:name w:val="heading 1"/>
    <w:basedOn w:val="Normal"/>
    <w:next w:val="Normal"/>
    <w:link w:val="Heading1Char"/>
    <w:autoRedefine/>
    <w:uiPriority w:val="9"/>
    <w:qFormat/>
    <w:rsid w:val="00460D4E"/>
    <w:pPr>
      <w:keepNext/>
      <w:keepLines/>
      <w:spacing w:before="240" w:after="0" w:line="360" w:lineRule="auto"/>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autoRedefine/>
    <w:uiPriority w:val="9"/>
    <w:unhideWhenUsed/>
    <w:qFormat/>
    <w:rsid w:val="00460D4E"/>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autoRedefine/>
    <w:uiPriority w:val="9"/>
    <w:unhideWhenUsed/>
    <w:qFormat/>
    <w:rsid w:val="00460D4E"/>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7F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EF3"/>
    <w:pPr>
      <w:ind w:left="720"/>
      <w:contextualSpacing/>
    </w:pPr>
  </w:style>
  <w:style w:type="paragraph" w:styleId="BalloonText">
    <w:name w:val="Balloon Text"/>
    <w:basedOn w:val="Normal"/>
    <w:link w:val="BalloonTextChar"/>
    <w:uiPriority w:val="99"/>
    <w:semiHidden/>
    <w:unhideWhenUsed/>
    <w:rsid w:val="009D2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F3"/>
    <w:rPr>
      <w:rFonts w:ascii="Segoe UI" w:hAnsi="Segoe UI" w:cs="Segoe UI"/>
      <w:sz w:val="18"/>
      <w:szCs w:val="18"/>
    </w:rPr>
  </w:style>
  <w:style w:type="paragraph" w:customStyle="1" w:styleId="LSunnumb">
    <w:name w:val="LS unnumb"/>
    <w:basedOn w:val="Normal"/>
    <w:qFormat/>
    <w:rsid w:val="00BB1C3A"/>
    <w:pPr>
      <w:tabs>
        <w:tab w:val="left" w:pos="851"/>
      </w:tabs>
      <w:spacing w:before="120" w:after="120" w:line="240" w:lineRule="auto"/>
      <w:ind w:left="851"/>
      <w:jc w:val="both"/>
    </w:pPr>
    <w:rPr>
      <w:rFonts w:ascii="Arial" w:eastAsia="Times New Roman" w:hAnsi="Arial" w:cs="Arial"/>
      <w:sz w:val="24"/>
      <w:szCs w:val="24"/>
    </w:rPr>
  </w:style>
  <w:style w:type="paragraph" w:styleId="Title">
    <w:name w:val="Title"/>
    <w:basedOn w:val="Normal"/>
    <w:next w:val="Normal"/>
    <w:link w:val="TitleChar"/>
    <w:autoRedefine/>
    <w:uiPriority w:val="10"/>
    <w:qFormat/>
    <w:rsid w:val="00460D4E"/>
    <w:pPr>
      <w:spacing w:after="0" w:line="276" w:lineRule="auto"/>
      <w:contextualSpacing/>
      <w:jc w:val="center"/>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460D4E"/>
    <w:rPr>
      <w:rFonts w:ascii="Arial" w:eastAsiaTheme="majorEastAsia" w:hAnsi="Arial" w:cstheme="majorBidi"/>
      <w:b/>
      <w:spacing w:val="-10"/>
      <w:kern w:val="28"/>
      <w:sz w:val="24"/>
      <w:szCs w:val="56"/>
    </w:rPr>
  </w:style>
  <w:style w:type="paragraph" w:customStyle="1" w:styleId="Default">
    <w:name w:val="Default"/>
    <w:rsid w:val="00460D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60D4E"/>
    <w:rPr>
      <w:color w:val="0563C1" w:themeColor="hyperlink"/>
      <w:u w:val="single"/>
    </w:rPr>
  </w:style>
  <w:style w:type="character" w:customStyle="1" w:styleId="Heading1Char">
    <w:name w:val="Heading 1 Char"/>
    <w:basedOn w:val="DefaultParagraphFont"/>
    <w:link w:val="Heading1"/>
    <w:uiPriority w:val="9"/>
    <w:rsid w:val="00460D4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460D4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460D4E"/>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gyou.glyndwr.ac.uk/about/vice-chancellors-office/university-policies-procedures-a-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gyou.glyndwr.ac.uk/about/vice-chancellors-office/university-policies-procedures-and-guidelin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2529</Words>
  <Characters>14418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Butterworth</dc:creator>
  <cp:keywords/>
  <dc:description/>
  <cp:lastModifiedBy>Gerry Beer</cp:lastModifiedBy>
  <cp:revision>2</cp:revision>
  <cp:lastPrinted>2020-02-26T12:53:00Z</cp:lastPrinted>
  <dcterms:created xsi:type="dcterms:W3CDTF">2023-08-02T11:06:00Z</dcterms:created>
  <dcterms:modified xsi:type="dcterms:W3CDTF">2023-08-02T11:06:00Z</dcterms:modified>
</cp:coreProperties>
</file>